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65D7B">
      <w:pPr>
        <w:spacing w:line="594"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湖北省建筑装饰行业企业主体信用评价</w:t>
      </w:r>
    </w:p>
    <w:p w14:paraId="578BEBE5">
      <w:pPr>
        <w:spacing w:line="594"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管理办法</w:t>
      </w:r>
      <w:r>
        <w:rPr>
          <w:rFonts w:hint="eastAsia" w:ascii="方正大标宋简体" w:hAnsi="方正大标宋简体" w:eastAsia="方正大标宋简体" w:cs="方正大标宋简体"/>
          <w:sz w:val="44"/>
          <w:szCs w:val="44"/>
          <w:lang w:eastAsia="zh-CN"/>
        </w:rPr>
        <w:t>（</w:t>
      </w:r>
      <w:r>
        <w:rPr>
          <w:rFonts w:hint="eastAsia" w:ascii="方正大标宋简体" w:hAnsi="方正大标宋简体" w:eastAsia="方正大标宋简体" w:cs="方正大标宋简体"/>
          <w:sz w:val="44"/>
          <w:szCs w:val="44"/>
          <w:lang w:val="en-US" w:eastAsia="zh-CN"/>
        </w:rPr>
        <w:t>试行）</w:t>
      </w:r>
    </w:p>
    <w:p w14:paraId="44BAF8F0">
      <w:pPr>
        <w:spacing w:line="594" w:lineRule="exact"/>
        <w:jc w:val="center"/>
        <w:rPr>
          <w:rFonts w:hint="eastAsia" w:ascii="仿宋" w:hAnsi="仿宋" w:eastAsia="仿宋" w:cs="仿宋"/>
          <w:b/>
          <w:bCs/>
          <w:sz w:val="32"/>
          <w:szCs w:val="32"/>
        </w:rPr>
      </w:pPr>
    </w:p>
    <w:p w14:paraId="574BF53F">
      <w:pPr>
        <w:spacing w:line="594" w:lineRule="exact"/>
        <w:jc w:val="center"/>
        <w:rPr>
          <w:rFonts w:hint="eastAsia" w:ascii="仿宋" w:hAnsi="仿宋" w:eastAsia="仿宋" w:cs="仿宋"/>
          <w:b/>
          <w:bCs/>
          <w:sz w:val="32"/>
          <w:szCs w:val="32"/>
        </w:rPr>
      </w:pPr>
      <w:r>
        <w:rPr>
          <w:rFonts w:hint="eastAsia" w:ascii="仿宋" w:hAnsi="仿宋" w:eastAsia="仿宋" w:cs="仿宋"/>
          <w:b/>
          <w:bCs/>
          <w:sz w:val="32"/>
          <w:szCs w:val="32"/>
        </w:rPr>
        <w:t>第一章　总　　则</w:t>
      </w:r>
    </w:p>
    <w:p w14:paraId="6CE6B5CE">
      <w:pPr>
        <w:spacing w:line="594"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　为落实党中央、国务院关于加强社会诚信体系建设的总体要求，进一步促进我省建筑装饰行业发展，强化企业诚信建设，营造“恪守承诺、诚信经营”的良好氛围，做好湖北省建筑装饰行业企业主体信用评价工作，根据《</w:t>
      </w:r>
      <w:r>
        <w:rPr>
          <w:rFonts w:hint="eastAsia" w:ascii="仿宋" w:hAnsi="仿宋" w:eastAsia="仿宋" w:cs="仿宋"/>
          <w:sz w:val="32"/>
          <w:szCs w:val="32"/>
          <w:lang w:val="en-US" w:eastAsia="zh-CN"/>
        </w:rPr>
        <w:t>中共中央办公厅国务院办公厅关于健全社会信用体系的意见》《国务院办公厅关于加快推进社会信用体系建设构建以信用为基础的新型监管机制的指导意见》《湖北省社会信用信息管理条例》《湖北省建筑市场管理条例》</w:t>
      </w:r>
      <w:r>
        <w:rPr>
          <w:rFonts w:hint="eastAsia" w:ascii="仿宋" w:hAnsi="仿宋" w:eastAsia="仿宋" w:cs="仿宋"/>
          <w:sz w:val="32"/>
          <w:szCs w:val="32"/>
        </w:rPr>
        <w:t>等相关文件精神及</w:t>
      </w:r>
      <w:r>
        <w:rPr>
          <w:rFonts w:hint="eastAsia" w:ascii="仿宋" w:hAnsi="仿宋" w:eastAsia="仿宋" w:cs="仿宋"/>
          <w:sz w:val="32"/>
          <w:szCs w:val="32"/>
          <w:highlight w:val="none"/>
          <w:lang w:val="en-US" w:eastAsia="zh-CN"/>
        </w:rPr>
        <w:t>湖北</w:t>
      </w:r>
      <w:r>
        <w:rPr>
          <w:rFonts w:hint="eastAsia" w:ascii="仿宋" w:hAnsi="仿宋" w:eastAsia="仿宋" w:cs="仿宋"/>
          <w:sz w:val="32"/>
          <w:szCs w:val="32"/>
        </w:rPr>
        <w:t>省住房和城乡建设厅对信用评价的相关要求，结合我省建筑装饰行业特点，特制订此办法。</w:t>
      </w:r>
    </w:p>
    <w:p w14:paraId="57D57247">
      <w:pPr>
        <w:spacing w:line="594"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第二条</w:t>
      </w:r>
      <w:r>
        <w:rPr>
          <w:rFonts w:hint="eastAsia" w:ascii="仿宋" w:hAnsi="仿宋" w:eastAsia="仿宋" w:cs="仿宋"/>
          <w:sz w:val="32"/>
          <w:szCs w:val="32"/>
        </w:rPr>
        <w:t>　湖北省建筑装饰行业企业主体信用评价是行业自律行为，坚持科学、务实、公正、规范原则，不以营利为目的，坚持严格把关、企业自愿、服务会员原则。</w:t>
      </w:r>
    </w:p>
    <w:p w14:paraId="288161FC">
      <w:pPr>
        <w:spacing w:line="594"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信用评价可以作为建筑装饰市场相关企业及其从业人员的评价机制，信用评价结果将链接至</w:t>
      </w:r>
      <w:r>
        <w:rPr>
          <w:rFonts w:hint="eastAsia" w:ascii="仿宋" w:hAnsi="仿宋" w:eastAsia="仿宋" w:cs="仿宋"/>
          <w:sz w:val="32"/>
          <w:szCs w:val="32"/>
          <w:lang w:val="en-US" w:eastAsia="zh-CN"/>
        </w:rPr>
        <w:t>“楚智建”平台及</w:t>
      </w:r>
      <w:r>
        <w:rPr>
          <w:rFonts w:hint="eastAsia" w:ascii="仿宋" w:hAnsi="仿宋" w:eastAsia="仿宋" w:cs="仿宋"/>
          <w:sz w:val="32"/>
          <w:szCs w:val="32"/>
        </w:rPr>
        <w:t>“四库一平台”（省住建厅），作为向社会推介的考核依据。</w:t>
      </w:r>
    </w:p>
    <w:p w14:paraId="316A59A9">
      <w:pPr>
        <w:spacing w:line="594" w:lineRule="exact"/>
        <w:ind w:firstLine="643" w:firstLineChars="200"/>
        <w:rPr>
          <w:rFonts w:hint="eastAsia" w:ascii="仿宋" w:hAnsi="仿宋" w:eastAsia="仿宋" w:cs="仿宋"/>
          <w:color w:val="auto"/>
          <w:sz w:val="32"/>
          <w:szCs w:val="32"/>
        </w:rPr>
      </w:pPr>
      <w:r>
        <w:rPr>
          <w:rFonts w:hint="eastAsia" w:ascii="仿宋" w:hAnsi="仿宋" w:eastAsia="仿宋" w:cs="仿宋"/>
          <w:b/>
          <w:sz w:val="32"/>
          <w:szCs w:val="32"/>
        </w:rPr>
        <w:t>第四条</w:t>
      </w:r>
      <w:r>
        <w:rPr>
          <w:rFonts w:hint="eastAsia" w:ascii="仿宋" w:hAnsi="仿宋" w:eastAsia="仿宋" w:cs="仿宋"/>
          <w:sz w:val="32"/>
          <w:szCs w:val="32"/>
        </w:rPr>
        <w:t>　本办法适用于湖北省境内建筑装饰行业即主营业务为建筑装饰装修工程、建筑幕墙工程以及从事建筑装饰材料生产销</w:t>
      </w:r>
      <w:r>
        <w:rPr>
          <w:rFonts w:hint="eastAsia" w:ascii="仿宋" w:hAnsi="仿宋" w:eastAsia="仿宋" w:cs="仿宋"/>
          <w:color w:val="auto"/>
          <w:sz w:val="32"/>
          <w:szCs w:val="32"/>
        </w:rPr>
        <w:t>售的湖北省建筑装饰协会会员企业。</w:t>
      </w:r>
    </w:p>
    <w:p w14:paraId="2E614F78">
      <w:pPr>
        <w:pStyle w:val="2"/>
        <w:ind w:left="0" w:leftChars="0"/>
        <w:rPr>
          <w:rFonts w:hint="eastAsia" w:ascii="仿宋" w:hAnsi="仿宋" w:eastAsia="仿宋" w:cs="仿宋"/>
          <w:b/>
          <w:sz w:val="32"/>
          <w:szCs w:val="32"/>
        </w:rPr>
      </w:pPr>
    </w:p>
    <w:p w14:paraId="1025D96F">
      <w:pPr>
        <w:spacing w:line="594" w:lineRule="exact"/>
        <w:jc w:val="center"/>
        <w:rPr>
          <w:rFonts w:hint="eastAsia" w:ascii="仿宋" w:hAnsi="仿宋" w:eastAsia="仿宋" w:cs="仿宋"/>
          <w:b/>
          <w:bCs/>
          <w:sz w:val="32"/>
          <w:szCs w:val="32"/>
        </w:rPr>
      </w:pPr>
      <w:r>
        <w:rPr>
          <w:rFonts w:hint="eastAsia" w:ascii="仿宋" w:hAnsi="仿宋" w:eastAsia="仿宋" w:cs="仿宋"/>
          <w:b/>
          <w:bCs/>
          <w:sz w:val="32"/>
          <w:szCs w:val="32"/>
        </w:rPr>
        <w:t>第二章　组织架构和职责</w:t>
      </w:r>
    </w:p>
    <w:p w14:paraId="6E1DCD6C">
      <w:pPr>
        <w:spacing w:line="594"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sz w:val="32"/>
          <w:szCs w:val="32"/>
        </w:rPr>
        <w:t>第五条</w:t>
      </w:r>
      <w:r>
        <w:rPr>
          <w:rFonts w:hint="eastAsia" w:ascii="仿宋" w:hAnsi="仿宋" w:eastAsia="仿宋" w:cs="仿宋"/>
          <w:sz w:val="32"/>
          <w:szCs w:val="32"/>
        </w:rPr>
        <w:t>　</w:t>
      </w:r>
      <w:r>
        <w:rPr>
          <w:rFonts w:hint="eastAsia" w:ascii="仿宋" w:hAnsi="仿宋" w:eastAsia="仿宋" w:cs="仿宋"/>
          <w:color w:val="auto"/>
          <w:sz w:val="32"/>
          <w:szCs w:val="32"/>
          <w:highlight w:val="none"/>
        </w:rPr>
        <w:t>湖北省建筑装饰协会成立“湖北省建筑装饰行业信用评价工作指导委员会”</w:t>
      </w:r>
      <w:bookmarkStart w:id="0" w:name="OLE_LINK1"/>
      <w:r>
        <w:rPr>
          <w:rFonts w:hint="eastAsia" w:ascii="仿宋" w:hAnsi="仿宋" w:eastAsia="仿宋" w:cs="仿宋"/>
          <w:color w:val="auto"/>
          <w:sz w:val="32"/>
          <w:szCs w:val="32"/>
          <w:highlight w:val="none"/>
        </w:rPr>
        <w:t>（以下简称“指导委员会”）</w:t>
      </w:r>
      <w:bookmarkEnd w:id="0"/>
      <w:r>
        <w:rPr>
          <w:rFonts w:hint="eastAsia" w:ascii="仿宋" w:hAnsi="仿宋" w:eastAsia="仿宋" w:cs="仿宋"/>
          <w:color w:val="auto"/>
          <w:sz w:val="32"/>
          <w:szCs w:val="32"/>
          <w:highlight w:val="none"/>
        </w:rPr>
        <w:t>，指导委员会由协会会长办公会成员组成，负责信用评价工作的具体指导、实施开展和企业信用等级审定等。指导委员会下设信用评价工作委员会（以下简称“工作委员会”）和信用评价工作办公室。工作委员会由相关专家</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第三方信用评价机构人员，负责审定企业信用评价报告，确定信用等级等。办公室由协会秘书处工作人员及第三方信用评价机构人员组成，负责信用评价日常工作、受理初审、复审、受理申投诉、发布企业信用评价结果、制发信用等级证书及标牌等。</w:t>
      </w:r>
    </w:p>
    <w:p w14:paraId="1DF354AF">
      <w:pPr>
        <w:spacing w:line="594" w:lineRule="exact"/>
        <w:jc w:val="center"/>
        <w:rPr>
          <w:rFonts w:hint="eastAsia" w:ascii="仿宋" w:hAnsi="仿宋" w:eastAsia="仿宋" w:cs="仿宋"/>
          <w:sz w:val="32"/>
          <w:szCs w:val="32"/>
        </w:rPr>
      </w:pPr>
    </w:p>
    <w:p w14:paraId="729D433B">
      <w:pPr>
        <w:spacing w:line="594" w:lineRule="exact"/>
        <w:jc w:val="center"/>
        <w:rPr>
          <w:rFonts w:hint="eastAsia" w:ascii="仿宋" w:hAnsi="仿宋" w:eastAsia="仿宋" w:cs="仿宋"/>
          <w:b/>
          <w:bCs/>
          <w:sz w:val="32"/>
          <w:szCs w:val="32"/>
        </w:rPr>
      </w:pPr>
      <w:r>
        <w:rPr>
          <w:rFonts w:hint="eastAsia" w:ascii="仿宋" w:hAnsi="仿宋" w:eastAsia="仿宋" w:cs="仿宋"/>
          <w:b/>
          <w:bCs/>
          <w:sz w:val="32"/>
          <w:szCs w:val="32"/>
        </w:rPr>
        <w:t>第三章　信用评价基本原则、流程</w:t>
      </w:r>
    </w:p>
    <w:p w14:paraId="0DAF16AA">
      <w:pPr>
        <w:spacing w:line="594"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第六条</w:t>
      </w:r>
      <w:r>
        <w:rPr>
          <w:rFonts w:hint="eastAsia" w:ascii="仿宋" w:hAnsi="仿宋" w:eastAsia="仿宋" w:cs="仿宋"/>
          <w:sz w:val="32"/>
          <w:szCs w:val="32"/>
        </w:rPr>
        <w:t>　信用评价的基本原则</w:t>
      </w:r>
    </w:p>
    <w:p w14:paraId="77FCEE30">
      <w:pPr>
        <w:spacing w:line="594" w:lineRule="exact"/>
        <w:ind w:firstLine="640" w:firstLineChars="200"/>
        <w:rPr>
          <w:rFonts w:hint="eastAsia" w:ascii="仿宋" w:hAnsi="仿宋" w:eastAsia="仿宋" w:cs="仿宋"/>
          <w:color w:val="auto"/>
          <w:sz w:val="32"/>
          <w:szCs w:val="32"/>
        </w:rPr>
      </w:pPr>
      <w:r>
        <w:rPr>
          <w:rFonts w:hint="eastAsia" w:ascii="仿宋" w:hAnsi="仿宋" w:eastAsia="仿宋" w:cs="仿宋"/>
          <w:bCs/>
          <w:sz w:val="32"/>
          <w:szCs w:val="32"/>
        </w:rPr>
        <w:t>（一</w:t>
      </w:r>
      <w:r>
        <w:rPr>
          <w:rFonts w:hint="eastAsia" w:ascii="仿宋" w:hAnsi="仿宋" w:eastAsia="仿宋" w:cs="仿宋"/>
          <w:bCs/>
          <w:color w:val="auto"/>
          <w:sz w:val="32"/>
          <w:szCs w:val="32"/>
        </w:rPr>
        <w:t>）三公原则：</w:t>
      </w:r>
      <w:r>
        <w:rPr>
          <w:rFonts w:hint="eastAsia" w:ascii="仿宋" w:hAnsi="仿宋" w:eastAsia="仿宋" w:cs="仿宋"/>
          <w:color w:val="auto"/>
          <w:sz w:val="32"/>
          <w:szCs w:val="32"/>
        </w:rPr>
        <w:t>公开、公平和公正。</w:t>
      </w:r>
    </w:p>
    <w:p w14:paraId="17166687">
      <w:pPr>
        <w:spacing w:line="594" w:lineRule="exact"/>
        <w:ind w:firstLine="640" w:firstLineChars="200"/>
        <w:rPr>
          <w:rFonts w:hint="eastAsia" w:ascii="仿宋" w:hAnsi="仿宋" w:eastAsia="仿宋" w:cs="仿宋"/>
          <w:color w:val="auto"/>
          <w:sz w:val="32"/>
          <w:szCs w:val="32"/>
        </w:rPr>
      </w:pPr>
      <w:r>
        <w:rPr>
          <w:rFonts w:hint="eastAsia" w:ascii="仿宋" w:hAnsi="仿宋" w:eastAsia="仿宋" w:cs="仿宋"/>
          <w:bCs/>
          <w:color w:val="auto"/>
          <w:sz w:val="32"/>
          <w:szCs w:val="32"/>
        </w:rPr>
        <w:t>（二）法律基础原则：</w:t>
      </w:r>
      <w:r>
        <w:rPr>
          <w:rFonts w:hint="eastAsia" w:ascii="仿宋" w:hAnsi="仿宋" w:eastAsia="仿宋" w:cs="仿宋"/>
          <w:color w:val="auto"/>
          <w:sz w:val="32"/>
          <w:szCs w:val="32"/>
        </w:rPr>
        <w:t>遵循在法律法规的基础上开展业务，禁止信用信息的违法采集和披露。</w:t>
      </w:r>
    </w:p>
    <w:p w14:paraId="0EE62ECE">
      <w:pPr>
        <w:spacing w:line="594"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（三）真实性原则：</w:t>
      </w:r>
      <w:r>
        <w:rPr>
          <w:rFonts w:hint="eastAsia" w:ascii="仿宋" w:hAnsi="仿宋" w:eastAsia="仿宋" w:cs="仿宋"/>
          <w:sz w:val="32"/>
          <w:szCs w:val="32"/>
        </w:rPr>
        <w:t>评价过程中，应对评价所收集的数据和资料进行分析与核实，保障评价数据和资料的真实性与准确性，并按照规范的程序审定评价结果。</w:t>
      </w:r>
    </w:p>
    <w:p w14:paraId="4D4068A9">
      <w:pPr>
        <w:spacing w:line="594"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（四）一致性原则：专家组</w:t>
      </w:r>
      <w:r>
        <w:rPr>
          <w:rFonts w:hint="eastAsia" w:ascii="仿宋" w:hAnsi="仿宋" w:eastAsia="仿宋" w:cs="仿宋"/>
          <w:sz w:val="32"/>
          <w:szCs w:val="32"/>
        </w:rPr>
        <w:t>在评价业务过程中所采用的评价程序、评价方法、评价标准应与机构公开的程序、方法、标准一致</w:t>
      </w:r>
      <w:r>
        <w:rPr>
          <w:rFonts w:hint="eastAsia" w:ascii="仿宋" w:hAnsi="仿宋" w:eastAsia="仿宋" w:cs="仿宋"/>
          <w:spacing w:val="10"/>
          <w:sz w:val="32"/>
          <w:szCs w:val="32"/>
        </w:rPr>
        <w:t>。</w:t>
      </w:r>
    </w:p>
    <w:p w14:paraId="67D07851">
      <w:pPr>
        <w:spacing w:line="594"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（五）独立性原则：</w:t>
      </w:r>
      <w:r>
        <w:rPr>
          <w:rFonts w:hint="eastAsia" w:ascii="仿宋" w:hAnsi="仿宋" w:eastAsia="仿宋" w:cs="仿宋"/>
          <w:sz w:val="32"/>
          <w:szCs w:val="32"/>
        </w:rPr>
        <w:t>评价过程中应保持独立性，应根据收集的数据和资料作出评判，不受评价对象及其他外来因素的影响。</w:t>
      </w:r>
    </w:p>
    <w:p w14:paraId="3B6D8414">
      <w:pPr>
        <w:spacing w:line="594"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（六）审慎性原则：</w:t>
      </w:r>
      <w:r>
        <w:rPr>
          <w:rFonts w:hint="eastAsia" w:ascii="仿宋" w:hAnsi="仿宋" w:eastAsia="仿宋" w:cs="仿宋"/>
          <w:sz w:val="32"/>
          <w:szCs w:val="32"/>
        </w:rPr>
        <w:t>在资料的分析、判断过程中应持谨慎态度，特别是在对定性指标的分析和判断时。</w:t>
      </w:r>
    </w:p>
    <w:p w14:paraId="4576B943">
      <w:pPr>
        <w:spacing w:line="594"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第七条</w:t>
      </w:r>
      <w:r>
        <w:rPr>
          <w:rFonts w:hint="eastAsia" w:ascii="仿宋" w:hAnsi="仿宋" w:eastAsia="仿宋" w:cs="仿宋"/>
          <w:sz w:val="32"/>
          <w:szCs w:val="32"/>
        </w:rPr>
        <w:t>　信用评价流程</w:t>
      </w:r>
    </w:p>
    <w:p w14:paraId="1221C66A">
      <w:pPr>
        <w:spacing w:line="594"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（一）企业申报</w:t>
      </w:r>
      <w:r>
        <w:rPr>
          <w:rFonts w:hint="eastAsia" w:ascii="仿宋" w:hAnsi="仿宋" w:eastAsia="仿宋" w:cs="仿宋"/>
          <w:sz w:val="32"/>
          <w:szCs w:val="32"/>
        </w:rPr>
        <w:t>：申报企业在“湖北省建筑装饰行业信用评价平台”按要求如实填写《湖北省建筑装饰行业信用评价申报表》并提交相关材料，在鄂企业申报资料需经注册所在地建筑装饰协会（未成立建筑装饰协会的由建筑业协会）审核并填写《湖北省建筑装饰行业信用评价推荐表》</w:t>
      </w:r>
      <w:r>
        <w:rPr>
          <w:rFonts w:hint="eastAsia" w:ascii="仿宋" w:hAnsi="仿宋" w:eastAsia="仿宋" w:cs="仿宋"/>
          <w:sz w:val="32"/>
          <w:szCs w:val="32"/>
          <w:lang w:eastAsia="zh-CN"/>
        </w:rPr>
        <w:t>。</w:t>
      </w:r>
    </w:p>
    <w:p w14:paraId="5FF31706">
      <w:pPr>
        <w:spacing w:line="594"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申报单位需满足以下条件：</w:t>
      </w:r>
    </w:p>
    <w:p w14:paraId="4309680C">
      <w:pPr>
        <w:spacing w:line="59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1、申报单位必须持有合法有效的营业执照、资质证书、安全生产许可证，依法设立并经营3年（含）以上。</w:t>
      </w:r>
    </w:p>
    <w:p w14:paraId="2C51D63A">
      <w:pPr>
        <w:spacing w:line="59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2、申报单位须为湖北省建筑装饰协会会员。</w:t>
      </w:r>
    </w:p>
    <w:p w14:paraId="11365F92">
      <w:pPr>
        <w:spacing w:line="594"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近三年未发生严重失信行为，</w:t>
      </w:r>
      <w:r>
        <w:rPr>
          <w:rFonts w:hint="eastAsia" w:ascii="仿宋" w:hAnsi="仿宋" w:eastAsia="仿宋" w:cs="仿宋"/>
          <w:sz w:val="32"/>
          <w:szCs w:val="32"/>
          <w:highlight w:val="none"/>
        </w:rPr>
        <w:t>主要包括发生较大及以上质量安全事故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恶意拖欠或克扣农民工工资，发生群体性事件造成严重不良影响的;企业在招投标过程中发生围标串标;引起较大的群体性上访事件，影响社会稳定和秩序;建设主管部门对重大安全隐患提出整改要求，拒不整改或整改不到位等。</w:t>
      </w:r>
    </w:p>
    <w:p w14:paraId="1D61C142">
      <w:pPr>
        <w:spacing w:line="594"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highlight w:val="none"/>
        </w:rPr>
        <w:t>（二）审查评定</w:t>
      </w:r>
      <w:r>
        <w:rPr>
          <w:rFonts w:hint="eastAsia" w:ascii="仿宋" w:hAnsi="仿宋" w:eastAsia="仿宋" w:cs="仿宋"/>
          <w:sz w:val="32"/>
          <w:szCs w:val="32"/>
          <w:highlight w:val="none"/>
        </w:rPr>
        <w:t>：信用评价办公室收到企业</w:t>
      </w:r>
      <w:r>
        <w:rPr>
          <w:rFonts w:hint="eastAsia" w:ascii="仿宋" w:hAnsi="仿宋" w:eastAsia="仿宋" w:cs="仿宋"/>
          <w:sz w:val="32"/>
          <w:szCs w:val="32"/>
        </w:rPr>
        <w:t>的申报申请和材料后，对申报企业的资格、申报材料的完整性进行审查（申报单位须对所提供的材料真实性负责），审查合格后交由专家组进行信用评价工作，专家组按照评价标准进行综合评定。</w:t>
      </w:r>
    </w:p>
    <w:p w14:paraId="45F0FAD2">
      <w:pPr>
        <w:spacing w:line="594"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（三）审定公示</w:t>
      </w:r>
      <w:r>
        <w:rPr>
          <w:rFonts w:hint="eastAsia" w:ascii="仿宋" w:hAnsi="仿宋" w:eastAsia="仿宋" w:cs="仿宋"/>
          <w:sz w:val="32"/>
          <w:szCs w:val="32"/>
        </w:rPr>
        <w:t>：指导委员会根据信用评价工作委员会的综合评审意见审定申报企业信用等级。审定后信用评价结果在湖北省建筑装饰协会官网及相关平台上公示7日，在公示期间，评价对象或公众对评价结果没有异议，则评价结果为首次评价的最终信用等级；对信用评价结果有异议的市场主体、单位或个人，应以书面形式向秘书处提出复核申请，说明理由并提供相关证明材料，由指导委员会组织专家在15天内完成复核并予以回复（如不能在7日内提供充分有效的补充资料或理由不足以影响评价结果，则维持原评审级别）。</w:t>
      </w:r>
    </w:p>
    <w:p w14:paraId="6C3B98DC">
      <w:pPr>
        <w:spacing w:line="594"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rPr>
        <w:t>（四）评价结果发布</w:t>
      </w:r>
      <w:r>
        <w:rPr>
          <w:rFonts w:hint="eastAsia" w:ascii="仿宋" w:hAnsi="仿宋" w:eastAsia="仿宋" w:cs="仿宋"/>
          <w:sz w:val="32"/>
          <w:szCs w:val="32"/>
        </w:rPr>
        <w:t>：公示期结束，评价结果在湖北省建筑装饰协会官网对外发布，并将评价结果链接</w:t>
      </w:r>
      <w:r>
        <w:rPr>
          <w:rFonts w:hint="eastAsia" w:ascii="仿宋" w:hAnsi="仿宋" w:eastAsia="仿宋" w:cs="仿宋"/>
          <w:sz w:val="32"/>
          <w:szCs w:val="32"/>
          <w:highlight w:val="none"/>
        </w:rPr>
        <w:t>至</w:t>
      </w:r>
      <w:r>
        <w:rPr>
          <w:rFonts w:hint="eastAsia" w:ascii="仿宋" w:hAnsi="仿宋" w:eastAsia="仿宋" w:cs="仿宋"/>
          <w:sz w:val="32"/>
          <w:szCs w:val="32"/>
          <w:highlight w:val="none"/>
          <w:lang w:val="en-US" w:eastAsia="zh-CN"/>
        </w:rPr>
        <w:t>“楚智建”平台及</w:t>
      </w:r>
      <w:r>
        <w:rPr>
          <w:rFonts w:hint="eastAsia" w:ascii="仿宋" w:hAnsi="仿宋" w:eastAsia="仿宋" w:cs="仿宋"/>
          <w:sz w:val="32"/>
          <w:szCs w:val="32"/>
          <w:highlight w:val="none"/>
        </w:rPr>
        <w:t>“四库一平台”（省住建厅）。</w:t>
      </w:r>
    </w:p>
    <w:p w14:paraId="08C8BBD3">
      <w:pPr>
        <w:spacing w:line="594"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（五）信息存档</w:t>
      </w:r>
      <w:r>
        <w:rPr>
          <w:rFonts w:hint="eastAsia" w:ascii="仿宋" w:hAnsi="仿宋" w:eastAsia="仿宋" w:cs="仿宋"/>
          <w:sz w:val="32"/>
          <w:szCs w:val="32"/>
          <w:highlight w:val="none"/>
        </w:rPr>
        <w:t>：信用评价办公室将评价对象的原始资料以及评价过程中的相关资料进行分类整理并归档。</w:t>
      </w:r>
    </w:p>
    <w:p w14:paraId="6D85363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（六）年审</w:t>
      </w:r>
      <w:r>
        <w:rPr>
          <w:rFonts w:hint="eastAsia" w:ascii="仿宋" w:hAnsi="仿宋" w:eastAsia="仿宋" w:cs="仿宋"/>
          <w:sz w:val="32"/>
          <w:szCs w:val="32"/>
        </w:rPr>
        <w:t>：受评企业在有效期内须每年参加年审。具体时间为首次信用评价等级公布之日起的第二年和第三年；</w:t>
      </w:r>
      <w:r>
        <w:rPr>
          <w:rFonts w:hint="eastAsia" w:ascii="仿宋" w:hAnsi="仿宋" w:eastAsia="仿宋" w:cs="仿宋"/>
          <w:sz w:val="32"/>
          <w:szCs w:val="32"/>
          <w:lang w:val="en-US" w:eastAsia="zh-CN"/>
        </w:rPr>
        <w:t>受</w:t>
      </w:r>
      <w:r>
        <w:rPr>
          <w:rFonts w:hint="eastAsia" w:ascii="仿宋" w:hAnsi="仿宋" w:eastAsia="仿宋" w:cs="仿宋"/>
          <w:sz w:val="32"/>
          <w:szCs w:val="32"/>
        </w:rPr>
        <w:t>评企业应在规定时间内向信用评价办公室提出申请并提交《湖北省建筑装饰行业信用评价年审申请表》及相关资料进行年审，信用评价办公室在收到企业年审资料后，交由工作委员会进行资料审查并撰写《年审意见书》。如未发现影响现有信用级别的情况，则经指导委员会审定通过后发布年审合格通知；若发现受评企业有影响现有信用级别情况或受评企业的内外部因素发生了重大变化以至于现有信用等级需要进行调整，应及时向指导委员会提出书面报告与处理意见，由指导委员会组织专家论证是否调整受评企业的信用级别。若年审后企业信用级别发生变化，将在协会官网上予以公告。</w:t>
      </w:r>
    </w:p>
    <w:p w14:paraId="762EF0A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（七）复评：</w:t>
      </w:r>
      <w:r>
        <w:rPr>
          <w:rFonts w:hint="eastAsia" w:ascii="仿宋" w:hAnsi="仿宋" w:eastAsia="仿宋" w:cs="仿宋"/>
          <w:sz w:val="32"/>
          <w:szCs w:val="32"/>
        </w:rPr>
        <w:t>企业信用评价结果有效期三年，受评企业在有效期满前，应向信用评价办公室提出复评，并按照要求提交复评资料，复评企业按照信用审查评定、审定公式、评价结果发布、信息存档流程进行；复评企业在规定时间内无故拒绝参加复评，其此前以获得的信用等级在有效期届满后失效，再次提交评价申请时，按照初次评价流程进行。</w:t>
      </w:r>
    </w:p>
    <w:p w14:paraId="3F0AFE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14:paraId="03AB99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信用等级分值</w:t>
      </w:r>
    </w:p>
    <w:p w14:paraId="09F59D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　</w:t>
      </w:r>
      <w:r>
        <w:rPr>
          <w:rFonts w:hint="eastAsia" w:ascii="仿宋" w:hAnsi="仿宋" w:eastAsia="仿宋" w:cs="仿宋"/>
          <w:sz w:val="32"/>
          <w:szCs w:val="32"/>
        </w:rPr>
        <w:t>信用等级分为四级，依次用AAA、AA、A、B表示。</w:t>
      </w:r>
    </w:p>
    <w:p w14:paraId="3E13FF4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各信用等级分值和信用状况特征如下表：</w:t>
      </w:r>
    </w:p>
    <w:tbl>
      <w:tblPr>
        <w:tblStyle w:val="8"/>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408"/>
        <w:gridCol w:w="1470"/>
        <w:gridCol w:w="6496"/>
      </w:tblGrid>
      <w:tr w14:paraId="1C96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93" w:hRule="atLeast"/>
          <w:jc w:val="center"/>
        </w:trPr>
        <w:tc>
          <w:tcPr>
            <w:tcW w:w="1408" w:type="dxa"/>
            <w:vAlign w:val="center"/>
          </w:tcPr>
          <w:p w14:paraId="3A0AC50D">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信用</w:t>
            </w:r>
          </w:p>
          <w:p w14:paraId="397DDC04">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等级</w:t>
            </w:r>
          </w:p>
        </w:tc>
        <w:tc>
          <w:tcPr>
            <w:tcW w:w="1470" w:type="dxa"/>
            <w:vAlign w:val="center"/>
          </w:tcPr>
          <w:p w14:paraId="7DF4B764">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分值</w:t>
            </w:r>
          </w:p>
          <w:p w14:paraId="4CFC9154">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区间</w:t>
            </w:r>
          </w:p>
        </w:tc>
        <w:tc>
          <w:tcPr>
            <w:tcW w:w="6496" w:type="dxa"/>
            <w:vAlign w:val="center"/>
          </w:tcPr>
          <w:p w14:paraId="7A51F6DB">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信用状况特征</w:t>
            </w:r>
          </w:p>
        </w:tc>
      </w:tr>
      <w:tr w14:paraId="687E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36" w:hRule="atLeast"/>
          <w:jc w:val="center"/>
        </w:trPr>
        <w:tc>
          <w:tcPr>
            <w:tcW w:w="1408" w:type="dxa"/>
            <w:vAlign w:val="center"/>
          </w:tcPr>
          <w:p w14:paraId="2B4F0E79">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AAA</w:t>
            </w:r>
          </w:p>
          <w:p w14:paraId="00EBB24F">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信用等级优良</w:t>
            </w:r>
          </w:p>
        </w:tc>
        <w:tc>
          <w:tcPr>
            <w:tcW w:w="1470" w:type="dxa"/>
            <w:vAlign w:val="center"/>
          </w:tcPr>
          <w:p w14:paraId="6DBCA55C">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≥80</w:t>
            </w:r>
          </w:p>
        </w:tc>
        <w:tc>
          <w:tcPr>
            <w:tcW w:w="6496" w:type="dxa"/>
            <w:vAlign w:val="center"/>
          </w:tcPr>
          <w:p w14:paraId="1A5A3EF6">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textAlignment w:val="auto"/>
              <w:rPr>
                <w:rFonts w:hint="eastAsia" w:ascii="仿宋" w:hAnsi="仿宋" w:eastAsia="仿宋" w:cs="仿宋"/>
                <w:sz w:val="32"/>
                <w:szCs w:val="32"/>
              </w:rPr>
            </w:pPr>
            <w:r>
              <w:rPr>
                <w:rFonts w:hint="eastAsia" w:ascii="仿宋" w:hAnsi="仿宋" w:eastAsia="仿宋" w:cs="仿宋"/>
                <w:sz w:val="32"/>
                <w:szCs w:val="32"/>
              </w:rPr>
              <w:t>受评主体经营的稳定性极强，对履行相关经济和社会责任能够提供极强的安全保障，尽管环境因素可能会发生变化，但这些变化对受评主体的影响不会从根本上损害其相当稳定的发展趋势，违约风险极低。</w:t>
            </w:r>
          </w:p>
        </w:tc>
      </w:tr>
      <w:tr w14:paraId="0078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68" w:hRule="atLeast"/>
          <w:jc w:val="center"/>
        </w:trPr>
        <w:tc>
          <w:tcPr>
            <w:tcW w:w="1408" w:type="dxa"/>
            <w:vAlign w:val="center"/>
          </w:tcPr>
          <w:p w14:paraId="2D645067">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AA</w:t>
            </w:r>
          </w:p>
          <w:p w14:paraId="48A45564">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信用等级良好</w:t>
            </w:r>
          </w:p>
        </w:tc>
        <w:tc>
          <w:tcPr>
            <w:tcW w:w="1470" w:type="dxa"/>
            <w:vAlign w:val="center"/>
          </w:tcPr>
          <w:p w14:paraId="01568EFA">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≥70＜80</w:t>
            </w:r>
          </w:p>
        </w:tc>
        <w:tc>
          <w:tcPr>
            <w:tcW w:w="6496" w:type="dxa"/>
            <w:vAlign w:val="center"/>
          </w:tcPr>
          <w:p w14:paraId="1180F859">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textAlignment w:val="auto"/>
              <w:rPr>
                <w:rFonts w:hint="eastAsia" w:ascii="仿宋" w:hAnsi="仿宋" w:eastAsia="仿宋" w:cs="仿宋"/>
                <w:sz w:val="32"/>
                <w:szCs w:val="32"/>
              </w:rPr>
            </w:pPr>
            <w:r>
              <w:rPr>
                <w:rFonts w:hint="eastAsia" w:ascii="仿宋" w:hAnsi="仿宋" w:eastAsia="仿宋" w:cs="仿宋"/>
                <w:sz w:val="32"/>
                <w:szCs w:val="32"/>
              </w:rPr>
              <w:t>受评主体经营的稳定性较强，对履行相关经济和社会责任能够提供较好的安全保障，对于抵御环境发生不利变化时的能力较弱，但违约风险较低。</w:t>
            </w:r>
          </w:p>
        </w:tc>
      </w:tr>
      <w:tr w14:paraId="3BAB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68" w:hRule="atLeast"/>
          <w:jc w:val="center"/>
        </w:trPr>
        <w:tc>
          <w:tcPr>
            <w:tcW w:w="1408" w:type="dxa"/>
            <w:vAlign w:val="center"/>
          </w:tcPr>
          <w:p w14:paraId="01EFA0EA">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A</w:t>
            </w:r>
          </w:p>
          <w:p w14:paraId="43F30742">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信用等级</w:t>
            </w:r>
          </w:p>
          <w:p w14:paraId="7E0DDB6D">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较好</w:t>
            </w:r>
          </w:p>
        </w:tc>
        <w:tc>
          <w:tcPr>
            <w:tcW w:w="1470" w:type="dxa"/>
            <w:vAlign w:val="center"/>
          </w:tcPr>
          <w:p w14:paraId="17A0C8E2">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≥60＜70</w:t>
            </w:r>
          </w:p>
        </w:tc>
        <w:tc>
          <w:tcPr>
            <w:tcW w:w="6496" w:type="dxa"/>
            <w:vAlign w:val="center"/>
          </w:tcPr>
          <w:p w14:paraId="0A713DCA">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textAlignment w:val="auto"/>
              <w:rPr>
                <w:rFonts w:hint="eastAsia" w:ascii="仿宋" w:hAnsi="仿宋" w:eastAsia="仿宋" w:cs="仿宋"/>
                <w:sz w:val="32"/>
                <w:szCs w:val="32"/>
              </w:rPr>
            </w:pPr>
            <w:r>
              <w:rPr>
                <w:rFonts w:hint="eastAsia" w:ascii="仿宋" w:hAnsi="仿宋" w:eastAsia="仿宋" w:cs="仿宋"/>
                <w:sz w:val="32"/>
                <w:szCs w:val="32"/>
              </w:rPr>
              <w:t>企业经营状况较好，受评主体在履行相关经济和社会责任时可以提供充足的安全保障，但发生不利于经营的环境变化时，存在或有违约风险。</w:t>
            </w:r>
          </w:p>
        </w:tc>
      </w:tr>
      <w:tr w14:paraId="2494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68" w:hRule="atLeast"/>
          <w:jc w:val="center"/>
        </w:trPr>
        <w:tc>
          <w:tcPr>
            <w:tcW w:w="1408" w:type="dxa"/>
            <w:vAlign w:val="center"/>
          </w:tcPr>
          <w:p w14:paraId="4FD8CBE1">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B</w:t>
            </w:r>
          </w:p>
          <w:p w14:paraId="0C8D2320">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信用等级</w:t>
            </w:r>
          </w:p>
          <w:p w14:paraId="7FBC9987">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一般</w:t>
            </w:r>
          </w:p>
        </w:tc>
        <w:tc>
          <w:tcPr>
            <w:tcW w:w="1470" w:type="dxa"/>
            <w:vAlign w:val="center"/>
          </w:tcPr>
          <w:p w14:paraId="2F0FDC08">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＜60</w:t>
            </w:r>
          </w:p>
        </w:tc>
        <w:tc>
          <w:tcPr>
            <w:tcW w:w="6496" w:type="dxa"/>
            <w:vAlign w:val="center"/>
          </w:tcPr>
          <w:p w14:paraId="6AAC17CA">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textAlignment w:val="auto"/>
              <w:rPr>
                <w:rFonts w:hint="eastAsia" w:ascii="仿宋" w:hAnsi="仿宋" w:eastAsia="仿宋" w:cs="仿宋"/>
                <w:sz w:val="32"/>
                <w:szCs w:val="32"/>
              </w:rPr>
            </w:pPr>
            <w:r>
              <w:rPr>
                <w:rFonts w:hint="eastAsia" w:ascii="仿宋" w:hAnsi="仿宋" w:eastAsia="仿宋" w:cs="仿宋"/>
                <w:sz w:val="32"/>
                <w:szCs w:val="32"/>
              </w:rPr>
              <w:t>企业经营状况正常，发展前景较广阔，无不良信用记录，但履行相关经济和社会责任的能力一般，目前对合同的履行尚属适当，但未来经营和发展易受内外部不确定因素的影响，履约能力会产生波动。</w:t>
            </w:r>
          </w:p>
        </w:tc>
      </w:tr>
    </w:tbl>
    <w:p w14:paraId="1569C581">
      <w:pPr>
        <w:keepNext w:val="0"/>
        <w:keepLines w:val="0"/>
        <w:pageBreakBefore w:val="0"/>
        <w:widowControl w:val="0"/>
        <w:kinsoku/>
        <w:wordWrap/>
        <w:overflowPunct/>
        <w:topLinePunct w:val="0"/>
        <w:autoSpaceDE/>
        <w:autoSpaceDN/>
        <w:bidi w:val="0"/>
        <w:adjustRightInd/>
        <w:snapToGrid/>
        <w:spacing w:before="62" w:beforeLines="20" w:line="560" w:lineRule="exact"/>
        <w:jc w:val="center"/>
        <w:textAlignment w:val="auto"/>
        <w:rPr>
          <w:rFonts w:hint="eastAsia" w:ascii="仿宋" w:hAnsi="仿宋" w:eastAsia="仿宋" w:cs="仿宋"/>
          <w:sz w:val="32"/>
          <w:szCs w:val="32"/>
        </w:rPr>
      </w:pPr>
    </w:p>
    <w:p w14:paraId="030B5EB5">
      <w:pPr>
        <w:keepNext w:val="0"/>
        <w:keepLines w:val="0"/>
        <w:pageBreakBefore w:val="0"/>
        <w:widowControl w:val="0"/>
        <w:kinsoku/>
        <w:wordWrap/>
        <w:overflowPunct/>
        <w:topLinePunct w:val="0"/>
        <w:autoSpaceDE/>
        <w:autoSpaceDN/>
        <w:bidi w:val="0"/>
        <w:adjustRightInd/>
        <w:snapToGrid/>
        <w:spacing w:before="62" w:beforeLines="20" w:line="60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信用评价的指标项及权重分配规则</w:t>
      </w:r>
    </w:p>
    <w:p w14:paraId="3EC24F5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信用评价由企业基本信用分、优良信用分和不良信用分构成，总分100分。基本信用分上限为80分，优良信用分上限为20分，不良信用分采取扣分制，扣完为止。评价主体信用分=基本信用分+项目优良信用分+不良信用分。</w:t>
      </w:r>
    </w:p>
    <w:p w14:paraId="694929C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企业基本信用分由受评主体基本素质24分、资质5分、经营管理能力35分、财务实力16分等四部分组成。</w:t>
      </w:r>
    </w:p>
    <w:p w14:paraId="3CC967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优良信用分</w:t>
      </w:r>
      <w:r>
        <w:rPr>
          <w:rFonts w:hint="eastAsia" w:ascii="仿宋" w:hAnsi="仿宋" w:eastAsia="仿宋" w:cs="仿宋"/>
          <w:sz w:val="32"/>
          <w:szCs w:val="32"/>
          <w:lang w:val="en-US" w:eastAsia="zh-CN"/>
        </w:rPr>
        <w:t>是指建筑装修市场各方主体在经营活动中受到县级（含）以上党委、政府、住建部门或市级（含）以上行业协会、学会表彰（表扬）奖励，以及获得的工程荣誉、认证认定、现场评价等优良行为信息分。</w:t>
      </w:r>
    </w:p>
    <w:p w14:paraId="2342DF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不良信用分是指建筑装修市场各方主体在经营活动中违反有关法律、法规、规章或工程建设强制性标准等，受到县级以上主管部门行政处罚、通报等信息，以及经有关部门认定的其他不良行为信息扣分。</w:t>
      </w:r>
    </w:p>
    <w:p w14:paraId="5DC3AF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以上三部分记分规则均</w:t>
      </w:r>
      <w:r>
        <w:rPr>
          <w:rFonts w:hint="eastAsia" w:ascii="仿宋" w:hAnsi="仿宋" w:eastAsia="仿宋" w:cs="仿宋"/>
          <w:sz w:val="32"/>
          <w:szCs w:val="32"/>
        </w:rPr>
        <w:t>按《湖北省建筑装饰行业企业主体信用评价标准》</w:t>
      </w:r>
      <w:r>
        <w:rPr>
          <w:rFonts w:hint="eastAsia" w:ascii="仿宋" w:hAnsi="仿宋" w:eastAsia="仿宋" w:cs="仿宋"/>
          <w:sz w:val="32"/>
          <w:szCs w:val="32"/>
          <w:lang w:eastAsia="zh-CN"/>
        </w:rPr>
        <w:t>进行评分</w:t>
      </w:r>
      <w:r>
        <w:rPr>
          <w:rFonts w:hint="eastAsia" w:ascii="仿宋" w:hAnsi="仿宋" w:eastAsia="仿宋" w:cs="仿宋"/>
          <w:sz w:val="32"/>
          <w:szCs w:val="32"/>
        </w:rPr>
        <w:t>。</w:t>
      </w:r>
    </w:p>
    <w:p w14:paraId="26B2AE57">
      <w:pPr>
        <w:widowControl/>
        <w:jc w:val="center"/>
        <w:rPr>
          <w:rFonts w:hint="eastAsia" w:ascii="仿宋" w:hAnsi="仿宋" w:eastAsia="仿宋" w:cs="仿宋"/>
          <w:b/>
          <w:bCs/>
          <w:sz w:val="32"/>
          <w:szCs w:val="32"/>
        </w:rPr>
      </w:pPr>
    </w:p>
    <w:p w14:paraId="07974947">
      <w:pPr>
        <w:widowControl/>
        <w:jc w:val="center"/>
        <w:rPr>
          <w:rFonts w:hint="eastAsia" w:ascii="仿宋" w:hAnsi="仿宋" w:eastAsia="仿宋" w:cs="仿宋"/>
          <w:b/>
          <w:bCs/>
          <w:sz w:val="32"/>
          <w:szCs w:val="32"/>
        </w:rPr>
      </w:pPr>
      <w:r>
        <w:rPr>
          <w:rFonts w:hint="eastAsia" w:ascii="仿宋" w:hAnsi="仿宋" w:eastAsia="仿宋" w:cs="仿宋"/>
          <w:b/>
          <w:bCs/>
          <w:sz w:val="32"/>
          <w:szCs w:val="32"/>
        </w:rPr>
        <w:t>第六章　监督与管理</w:t>
      </w:r>
    </w:p>
    <w:p w14:paraId="612DC5CD">
      <w:pPr>
        <w:spacing w:line="594"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eastAsia="zh-CN"/>
        </w:rPr>
        <w:t>一</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rPr>
        <w:t xml:space="preserve">  具备资质的第三方信用服务机构应充分发挥对协会信用评价工作的大数据支撑作用。会员企业应高度重视并积极参与行业信用评价工作，努力提升企业信用管理水平。信用评价指导委员会、第三方信用服务机构和会员企业在行业信用评价工作中应主动接受社会监督，着力营造参与各方相互监督、共同促进的社会共治局面。</w:t>
      </w:r>
    </w:p>
    <w:p w14:paraId="0685B112">
      <w:pPr>
        <w:spacing w:line="594" w:lineRule="exact"/>
        <w:ind w:firstLine="643" w:firstLineChars="200"/>
        <w:rPr>
          <w:rFonts w:hint="eastAsia" w:ascii="仿宋" w:hAnsi="仿宋" w:eastAsia="仿宋" w:cs="仿宋"/>
          <w:sz w:val="32"/>
          <w:szCs w:val="32"/>
          <w:highlight w:val="yellow"/>
        </w:rPr>
      </w:pPr>
      <w:r>
        <w:rPr>
          <w:rFonts w:hint="eastAsia" w:ascii="仿宋" w:hAnsi="仿宋" w:eastAsia="仿宋" w:cs="仿宋"/>
          <w:b/>
          <w:sz w:val="32"/>
          <w:szCs w:val="32"/>
        </w:rPr>
        <w:t>第十</w:t>
      </w:r>
      <w:r>
        <w:rPr>
          <w:rFonts w:hint="eastAsia" w:ascii="仿宋" w:hAnsi="仿宋" w:eastAsia="仿宋" w:cs="仿宋"/>
          <w:b/>
          <w:sz w:val="32"/>
          <w:szCs w:val="32"/>
          <w:lang w:eastAsia="zh-CN"/>
        </w:rPr>
        <w:t>二</w:t>
      </w:r>
      <w:r>
        <w:rPr>
          <w:rFonts w:hint="eastAsia" w:ascii="仿宋" w:hAnsi="仿宋" w:eastAsia="仿宋" w:cs="仿宋"/>
          <w:b/>
          <w:sz w:val="32"/>
          <w:szCs w:val="32"/>
        </w:rPr>
        <w:t>条</w:t>
      </w:r>
      <w:r>
        <w:rPr>
          <w:rFonts w:hint="eastAsia" w:ascii="仿宋" w:hAnsi="仿宋" w:eastAsia="仿宋" w:cs="仿宋"/>
          <w:sz w:val="32"/>
          <w:szCs w:val="32"/>
        </w:rPr>
        <w:t>　参与信用评价的相关人员在履行职责时，要本着客观公正、实事求是的原则，秉公办事，廉洁自律，不得泄露参评企业的商业秘密。对在评定工作中发生违规行为的，视其严重程度给予警告或取消资格，直至追究有关责任。</w:t>
      </w:r>
    </w:p>
    <w:p w14:paraId="55F69BBF">
      <w:pPr>
        <w:spacing w:line="594"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eastAsia="zh-CN"/>
        </w:rPr>
        <w:t>三</w:t>
      </w:r>
      <w:r>
        <w:rPr>
          <w:rFonts w:hint="eastAsia" w:ascii="仿宋" w:hAnsi="仿宋" w:eastAsia="仿宋" w:cs="仿宋"/>
          <w:b/>
          <w:sz w:val="32"/>
          <w:szCs w:val="32"/>
        </w:rPr>
        <w:t>条</w:t>
      </w:r>
      <w:r>
        <w:rPr>
          <w:rFonts w:hint="eastAsia" w:ascii="仿宋" w:hAnsi="仿宋" w:eastAsia="仿宋" w:cs="仿宋"/>
          <w:sz w:val="32"/>
          <w:szCs w:val="32"/>
        </w:rPr>
        <w:t>　如发现企业在申报中隐瞒真实情况，弄虚作假的，3年内不受理该企业信用等级认定的申报。</w:t>
      </w:r>
    </w:p>
    <w:p w14:paraId="07158F54">
      <w:pPr>
        <w:spacing w:line="594"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eastAsia="zh-CN"/>
        </w:rPr>
        <w:t>四</w:t>
      </w:r>
      <w:r>
        <w:rPr>
          <w:rFonts w:hint="eastAsia" w:ascii="仿宋" w:hAnsi="仿宋" w:eastAsia="仿宋" w:cs="仿宋"/>
          <w:b/>
          <w:sz w:val="32"/>
          <w:szCs w:val="32"/>
        </w:rPr>
        <w:t>条</w:t>
      </w:r>
      <w:r>
        <w:rPr>
          <w:rFonts w:hint="eastAsia" w:ascii="仿宋" w:hAnsi="仿宋" w:eastAsia="仿宋" w:cs="仿宋"/>
          <w:sz w:val="32"/>
          <w:szCs w:val="32"/>
        </w:rPr>
        <w:t>　未取得企业信用</w:t>
      </w:r>
      <w:r>
        <w:rPr>
          <w:rFonts w:hint="eastAsia" w:ascii="仿宋" w:hAnsi="仿宋" w:eastAsia="仿宋" w:cs="仿宋"/>
          <w:sz w:val="32"/>
          <w:szCs w:val="32"/>
          <w:lang w:eastAsia="zh-CN"/>
        </w:rPr>
        <w:t>等级</w:t>
      </w:r>
      <w:r>
        <w:rPr>
          <w:rFonts w:hint="eastAsia" w:ascii="仿宋" w:hAnsi="仿宋" w:eastAsia="仿宋" w:cs="仿宋"/>
          <w:sz w:val="32"/>
          <w:szCs w:val="32"/>
          <w:lang w:val="en-US" w:eastAsia="zh-CN"/>
        </w:rPr>
        <w:t>证</w:t>
      </w:r>
      <w:r>
        <w:rPr>
          <w:rFonts w:hint="eastAsia" w:ascii="仿宋" w:hAnsi="仿宋" w:eastAsia="仿宋" w:cs="仿宋"/>
          <w:sz w:val="32"/>
          <w:szCs w:val="32"/>
        </w:rPr>
        <w:t>明的企业，伪造等级证明从事经营活动的，予以记录并存档，3年内不受理该企业信用评价的申报。</w:t>
      </w:r>
    </w:p>
    <w:p w14:paraId="407897C5">
      <w:pPr>
        <w:spacing w:line="594"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eastAsia="zh-CN"/>
        </w:rPr>
        <w:t>五</w:t>
      </w:r>
      <w:r>
        <w:rPr>
          <w:rFonts w:hint="eastAsia" w:ascii="仿宋" w:hAnsi="仿宋" w:eastAsia="仿宋" w:cs="仿宋"/>
          <w:b/>
          <w:sz w:val="32"/>
          <w:szCs w:val="32"/>
        </w:rPr>
        <w:t>条</w:t>
      </w:r>
      <w:r>
        <w:rPr>
          <w:rFonts w:hint="eastAsia" w:ascii="仿宋" w:hAnsi="仿宋" w:eastAsia="仿宋" w:cs="仿宋"/>
          <w:sz w:val="32"/>
          <w:szCs w:val="32"/>
        </w:rPr>
        <w:t>　已取得企业信用等级证明的企业，冒用较高等级名义从事经营活动的，予以记录并存档，3年内不受理该企业信用评价的申报。</w:t>
      </w:r>
    </w:p>
    <w:p w14:paraId="4AA224FE">
      <w:pPr>
        <w:spacing w:line="594"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eastAsia="zh-CN"/>
        </w:rPr>
        <w:t>六</w:t>
      </w:r>
      <w:r>
        <w:rPr>
          <w:rFonts w:hint="eastAsia" w:ascii="仿宋" w:hAnsi="仿宋" w:eastAsia="仿宋" w:cs="仿宋"/>
          <w:b/>
          <w:sz w:val="32"/>
          <w:szCs w:val="32"/>
        </w:rPr>
        <w:t>条</w:t>
      </w:r>
      <w:r>
        <w:rPr>
          <w:rFonts w:hint="eastAsia" w:ascii="仿宋" w:hAnsi="仿宋" w:eastAsia="仿宋" w:cs="仿宋"/>
          <w:sz w:val="32"/>
          <w:szCs w:val="32"/>
        </w:rPr>
        <w:t>　企业自取得信用等级之日起，有下列情形之一的，及时对该企业信用等级进行再次认定：</w:t>
      </w:r>
    </w:p>
    <w:p w14:paraId="715337CA">
      <w:pPr>
        <w:spacing w:line="59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pacing w:val="6"/>
          <w:sz w:val="32"/>
          <w:szCs w:val="32"/>
        </w:rPr>
        <w:t>订立、履行合同过程中因自身严重过错造成重大损失的；</w:t>
      </w:r>
    </w:p>
    <w:p w14:paraId="77078252">
      <w:pPr>
        <w:spacing w:line="59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（2）进行诈骗等严重违法活动的；</w:t>
      </w:r>
    </w:p>
    <w:p w14:paraId="4E23374C">
      <w:pPr>
        <w:spacing w:line="594"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（3）其他严重违反法律法规规定的。</w:t>
      </w:r>
    </w:p>
    <w:p w14:paraId="28BF73E9">
      <w:pPr>
        <w:spacing w:line="594"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第十</w:t>
      </w:r>
      <w:r>
        <w:rPr>
          <w:rFonts w:hint="eastAsia" w:ascii="仿宋" w:hAnsi="仿宋" w:eastAsia="仿宋" w:cs="仿宋"/>
          <w:b/>
          <w:bCs/>
          <w:sz w:val="32"/>
          <w:szCs w:val="32"/>
          <w:highlight w:val="none"/>
          <w:lang w:eastAsia="zh-CN"/>
        </w:rPr>
        <w:t>七</w:t>
      </w:r>
      <w:r>
        <w:rPr>
          <w:rFonts w:hint="eastAsia" w:ascii="仿宋" w:hAnsi="仿宋" w:eastAsia="仿宋" w:cs="仿宋"/>
          <w:b/>
          <w:bCs/>
          <w:sz w:val="32"/>
          <w:szCs w:val="32"/>
          <w:highlight w:val="none"/>
        </w:rPr>
        <w:t xml:space="preserve">条 </w:t>
      </w:r>
      <w:r>
        <w:rPr>
          <w:rFonts w:hint="eastAsia" w:ascii="仿宋" w:hAnsi="仿宋" w:eastAsia="仿宋" w:cs="仿宋"/>
          <w:sz w:val="32"/>
          <w:szCs w:val="32"/>
          <w:highlight w:val="none"/>
        </w:rPr>
        <w:t>对已获得省级AAA级信用等级的企业，可推荐参加中国建筑装饰协会AAA信用企业评价。</w:t>
      </w:r>
    </w:p>
    <w:p w14:paraId="7AEA696F">
      <w:pPr>
        <w:spacing w:line="594"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第十</w:t>
      </w:r>
      <w:r>
        <w:rPr>
          <w:rFonts w:hint="eastAsia" w:ascii="仿宋" w:hAnsi="仿宋" w:eastAsia="仿宋" w:cs="仿宋"/>
          <w:b/>
          <w:sz w:val="32"/>
          <w:szCs w:val="32"/>
          <w:lang w:eastAsia="zh-CN"/>
        </w:rPr>
        <w:t>八</w:t>
      </w:r>
      <w:r>
        <w:rPr>
          <w:rFonts w:hint="eastAsia" w:ascii="仿宋" w:hAnsi="仿宋" w:eastAsia="仿宋" w:cs="仿宋"/>
          <w:b/>
          <w:sz w:val="32"/>
          <w:szCs w:val="32"/>
        </w:rPr>
        <w:t>条</w:t>
      </w:r>
      <w:r>
        <w:rPr>
          <w:rFonts w:hint="eastAsia" w:ascii="仿宋" w:hAnsi="仿宋" w:eastAsia="仿宋" w:cs="仿宋"/>
          <w:sz w:val="32"/>
          <w:szCs w:val="32"/>
        </w:rPr>
        <w:t>　参加信用评价的企业，不得有行贿、送礼、隐瞒、弄虚作假等行为。如发现企业有上述行为的，取消其参评资格；对已获得信用等级的，可取消其信用等级。</w:t>
      </w:r>
    </w:p>
    <w:p w14:paraId="6D2CDA0E">
      <w:pPr>
        <w:pStyle w:val="2"/>
        <w:rPr>
          <w:rFonts w:hint="eastAsia" w:ascii="仿宋" w:hAnsi="仿宋" w:eastAsia="仿宋" w:cs="仿宋"/>
          <w:sz w:val="32"/>
          <w:szCs w:val="32"/>
        </w:rPr>
      </w:pPr>
    </w:p>
    <w:p w14:paraId="55C40E99">
      <w:pPr>
        <w:spacing w:line="594" w:lineRule="exact"/>
        <w:jc w:val="center"/>
        <w:rPr>
          <w:rFonts w:hint="eastAsia" w:ascii="仿宋" w:hAnsi="仿宋" w:eastAsia="仿宋" w:cs="仿宋"/>
          <w:b/>
          <w:bCs/>
          <w:sz w:val="32"/>
          <w:szCs w:val="32"/>
        </w:rPr>
      </w:pPr>
      <w:r>
        <w:rPr>
          <w:rFonts w:hint="eastAsia" w:ascii="仿宋" w:hAnsi="仿宋" w:eastAsia="仿宋" w:cs="仿宋"/>
          <w:b/>
          <w:bCs/>
          <w:sz w:val="32"/>
          <w:szCs w:val="32"/>
        </w:rPr>
        <w:t>第七章　附　　则</w:t>
      </w:r>
    </w:p>
    <w:p w14:paraId="7FC15417">
      <w:pPr>
        <w:spacing w:line="594"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eastAsia="zh-CN"/>
        </w:rPr>
        <w:t>十九</w:t>
      </w:r>
      <w:r>
        <w:rPr>
          <w:rFonts w:hint="eastAsia" w:ascii="仿宋" w:hAnsi="仿宋" w:eastAsia="仿宋" w:cs="仿宋"/>
          <w:b/>
          <w:sz w:val="32"/>
          <w:szCs w:val="32"/>
        </w:rPr>
        <w:t>条　</w:t>
      </w:r>
      <w:r>
        <w:rPr>
          <w:rFonts w:hint="eastAsia" w:ascii="仿宋" w:hAnsi="仿宋" w:eastAsia="仿宋" w:cs="仿宋"/>
          <w:sz w:val="32"/>
          <w:szCs w:val="32"/>
        </w:rPr>
        <w:t>本办法由湖北省建筑装饰协会负责解释。</w:t>
      </w:r>
    </w:p>
    <w:p w14:paraId="4B9F8271">
      <w:pPr>
        <w:spacing w:line="594"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sz w:val="32"/>
          <w:szCs w:val="32"/>
        </w:rPr>
        <w:t>第二十条</w:t>
      </w:r>
      <w:r>
        <w:rPr>
          <w:rFonts w:hint="eastAsia" w:ascii="仿宋" w:hAnsi="仿宋" w:eastAsia="仿宋" w:cs="仿宋"/>
          <w:sz w:val="32"/>
          <w:szCs w:val="32"/>
        </w:rPr>
        <w:t>　本办法自颁布之日起实施。</w:t>
      </w:r>
      <w:r>
        <w:rPr>
          <w:rFonts w:hint="eastAsia" w:ascii="仿宋" w:hAnsi="仿宋" w:eastAsia="仿宋" w:cs="仿宋"/>
          <w:sz w:val="32"/>
          <w:szCs w:val="32"/>
          <w:lang w:val="en-US" w:eastAsia="zh-CN"/>
        </w:rPr>
        <w:t>原《湖北省建筑装饰行业企业主体信用评价管理办法（试行）（鄂建饰【2022】4号）同时废止。</w:t>
      </w:r>
    </w:p>
    <w:p w14:paraId="4AE49290">
      <w:pPr>
        <w:spacing w:line="594" w:lineRule="exact"/>
        <w:ind w:firstLine="640" w:firstLineChars="200"/>
        <w:rPr>
          <w:rFonts w:hint="eastAsia" w:ascii="仿宋" w:hAnsi="仿宋" w:eastAsia="仿宋" w:cs="仿宋"/>
          <w:sz w:val="32"/>
          <w:szCs w:val="32"/>
          <w:lang w:val="en-US" w:eastAsia="zh-CN"/>
        </w:rPr>
      </w:pPr>
    </w:p>
    <w:p w14:paraId="717DF719">
      <w:pPr>
        <w:spacing w:line="594" w:lineRule="exact"/>
        <w:ind w:firstLine="640" w:firstLineChars="200"/>
        <w:rPr>
          <w:rFonts w:eastAsia="仿宋_GB2312"/>
          <w:sz w:val="32"/>
          <w:szCs w:val="32"/>
        </w:rPr>
      </w:pPr>
      <w:r>
        <w:rPr>
          <w:rFonts w:hint="eastAsia" w:ascii="仿宋" w:hAnsi="仿宋" w:eastAsia="仿宋" w:cs="仿宋"/>
          <w:sz w:val="32"/>
          <w:szCs w:val="32"/>
          <w:lang w:val="en-US" w:eastAsia="zh-CN"/>
        </w:rPr>
        <w:t>附件：湖北省建筑装饰行业企业主体信用评价标准</w:t>
      </w:r>
      <w:r>
        <w:rPr>
          <w:rFonts w:eastAsia="仿宋_GB2312"/>
          <w:sz w:val="32"/>
          <w:szCs w:val="32"/>
        </w:rPr>
        <w:br w:type="page"/>
      </w:r>
    </w:p>
    <w:p w14:paraId="3A6C0436">
      <w:pPr>
        <w:spacing w:line="594" w:lineRule="exact"/>
        <w:ind w:firstLine="640" w:firstLineChars="200"/>
        <w:rPr>
          <w:rFonts w:eastAsia="仿宋_GB2312"/>
          <w:sz w:val="32"/>
          <w:szCs w:val="32"/>
        </w:rPr>
        <w:sectPr>
          <w:footerReference r:id="rId3" w:type="default"/>
          <w:pgSz w:w="11906" w:h="16838"/>
          <w:pgMar w:top="1440" w:right="1531" w:bottom="1440" w:left="1531" w:header="851" w:footer="992" w:gutter="0"/>
          <w:pgNumType w:fmt="decimal"/>
          <w:cols w:space="425" w:num="1"/>
          <w:docGrid w:type="lines" w:linePitch="312" w:charSpace="0"/>
        </w:sectPr>
      </w:pPr>
    </w:p>
    <w:p w14:paraId="79638D5F">
      <w:pPr>
        <w:spacing w:line="400" w:lineRule="exac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附件</w:t>
      </w:r>
    </w:p>
    <w:p w14:paraId="18E4C3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湖北省建筑装饰行业企业主体信用评价标准</w:t>
      </w:r>
    </w:p>
    <w:p w14:paraId="07AD5917">
      <w:pPr>
        <w:spacing w:line="400" w:lineRule="exact"/>
        <w:rPr>
          <w:rFonts w:hint="eastAsia" w:ascii="仿宋" w:hAnsi="仿宋" w:eastAsia="仿宋"/>
          <w:sz w:val="32"/>
          <w:szCs w:val="32"/>
        </w:rPr>
      </w:pPr>
    </w:p>
    <w:p w14:paraId="3D7D8ECF">
      <w:pPr>
        <w:keepNext w:val="0"/>
        <w:keepLines w:val="0"/>
        <w:pageBreakBefore w:val="0"/>
        <w:widowControl w:val="0"/>
        <w:kinsoku/>
        <w:wordWrap/>
        <w:overflowPunct/>
        <w:topLinePunct w:val="0"/>
        <w:autoSpaceDE/>
        <w:autoSpaceDN/>
        <w:bidi w:val="0"/>
        <w:adjustRightInd/>
        <w:snapToGrid/>
        <w:spacing w:line="10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信用评价由企业基本信用分、优良信用分和不良信用分构成，总分100分。</w:t>
      </w:r>
    </w:p>
    <w:p w14:paraId="4D114250">
      <w:pPr>
        <w:keepNext w:val="0"/>
        <w:keepLines w:val="0"/>
        <w:pageBreakBefore w:val="0"/>
        <w:widowControl w:val="0"/>
        <w:kinsoku/>
        <w:wordWrap/>
        <w:overflowPunct/>
        <w:topLinePunct w:val="0"/>
        <w:autoSpaceDE/>
        <w:autoSpaceDN/>
        <w:bidi w:val="0"/>
        <w:adjustRightInd/>
        <w:snapToGrid/>
        <w:spacing w:line="10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基本信用分上限为80分，优良信用分上限为20分，不良信用分采取扣分制，扣完为止。</w:t>
      </w:r>
    </w:p>
    <w:p w14:paraId="58BC8E66">
      <w:pPr>
        <w:keepNext w:val="0"/>
        <w:keepLines w:val="0"/>
        <w:pageBreakBefore w:val="0"/>
        <w:widowControl w:val="0"/>
        <w:kinsoku/>
        <w:wordWrap/>
        <w:overflowPunct/>
        <w:topLinePunct w:val="0"/>
        <w:autoSpaceDE/>
        <w:autoSpaceDN/>
        <w:bidi w:val="0"/>
        <w:adjustRightInd/>
        <w:snapToGrid/>
        <w:spacing w:line="10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企业</w:t>
      </w:r>
      <w:r>
        <w:rPr>
          <w:rFonts w:hint="eastAsia" w:ascii="仿宋" w:hAnsi="仿宋" w:eastAsia="仿宋"/>
          <w:sz w:val="32"/>
          <w:szCs w:val="32"/>
        </w:rPr>
        <w:t>评价主体信用分=基本信用分+优良信用分+不良信用分。</w:t>
      </w:r>
    </w:p>
    <w:p w14:paraId="40C9C633">
      <w:pPr>
        <w:spacing w:line="400" w:lineRule="exact"/>
        <w:rPr>
          <w:rFonts w:hint="eastAsia" w:ascii="仿宋" w:hAnsi="仿宋" w:eastAsia="仿宋"/>
          <w:sz w:val="32"/>
          <w:szCs w:val="32"/>
        </w:rPr>
      </w:pPr>
    </w:p>
    <w:p w14:paraId="1EC365E6">
      <w:pPr>
        <w:spacing w:line="400" w:lineRule="exact"/>
        <w:rPr>
          <w:rFonts w:hint="eastAsia" w:ascii="仿宋" w:hAnsi="仿宋" w:eastAsia="仿宋"/>
          <w:sz w:val="32"/>
          <w:szCs w:val="32"/>
        </w:rPr>
      </w:pPr>
    </w:p>
    <w:p w14:paraId="03CAC922">
      <w:pPr>
        <w:spacing w:line="400" w:lineRule="exact"/>
        <w:rPr>
          <w:rFonts w:hint="eastAsia" w:ascii="仿宋" w:hAnsi="仿宋" w:eastAsia="仿宋"/>
          <w:sz w:val="32"/>
          <w:szCs w:val="32"/>
        </w:rPr>
      </w:pPr>
    </w:p>
    <w:p w14:paraId="1CD4527E">
      <w:pPr>
        <w:spacing w:line="400" w:lineRule="exact"/>
        <w:rPr>
          <w:rFonts w:hint="eastAsia" w:ascii="仿宋" w:hAnsi="仿宋" w:eastAsia="仿宋"/>
          <w:sz w:val="32"/>
          <w:szCs w:val="32"/>
        </w:rPr>
      </w:pPr>
    </w:p>
    <w:p w14:paraId="79A23DF7">
      <w:pPr>
        <w:spacing w:line="400" w:lineRule="exact"/>
        <w:rPr>
          <w:rFonts w:hint="eastAsia" w:ascii="仿宋" w:hAnsi="仿宋" w:eastAsia="仿宋"/>
          <w:sz w:val="32"/>
          <w:szCs w:val="32"/>
        </w:rPr>
      </w:pPr>
    </w:p>
    <w:p w14:paraId="7B93764E">
      <w:pPr>
        <w:spacing w:line="400" w:lineRule="exact"/>
        <w:rPr>
          <w:rFonts w:hint="eastAsia" w:ascii="仿宋" w:hAnsi="仿宋" w:eastAsia="仿宋"/>
          <w:sz w:val="32"/>
          <w:szCs w:val="32"/>
        </w:rPr>
      </w:pPr>
    </w:p>
    <w:p w14:paraId="2E163F5B">
      <w:pPr>
        <w:spacing w:line="400" w:lineRule="exact"/>
        <w:rPr>
          <w:rFonts w:hint="eastAsia" w:ascii="仿宋" w:hAnsi="仿宋" w:eastAsia="仿宋"/>
          <w:sz w:val="32"/>
          <w:szCs w:val="32"/>
        </w:rPr>
      </w:pPr>
    </w:p>
    <w:p w14:paraId="3D3AD221">
      <w:pPr>
        <w:jc w:val="center"/>
        <w:rPr>
          <w:rFonts w:hint="eastAsia" w:ascii="方正大标宋简体" w:hAnsi="方正大标宋简体" w:eastAsia="方正大标宋简体" w:cs="方正大标宋简体"/>
          <w:b/>
          <w:bCs/>
          <w:sz w:val="36"/>
          <w:szCs w:val="36"/>
        </w:rPr>
      </w:pPr>
    </w:p>
    <w:p w14:paraId="6EECE3F3">
      <w:pPr>
        <w:jc w:val="center"/>
        <w:rPr>
          <w:rFonts w:hint="eastAsia" w:ascii="方正大标宋简体" w:hAnsi="方正大标宋简体" w:eastAsia="方正大标宋简体" w:cs="方正大标宋简体"/>
          <w:b/>
          <w:bCs/>
          <w:sz w:val="36"/>
          <w:szCs w:val="36"/>
        </w:rPr>
      </w:pPr>
    </w:p>
    <w:p w14:paraId="2339AE17">
      <w:pPr>
        <w:jc w:val="center"/>
        <w:rPr>
          <w:rFonts w:hint="eastAsia" w:ascii="方正大标宋简体" w:hAnsi="方正大标宋简体" w:eastAsia="方正大标宋简体" w:cs="方正大标宋简体"/>
          <w:b/>
          <w:bCs/>
          <w:sz w:val="36"/>
          <w:szCs w:val="36"/>
        </w:rPr>
      </w:pPr>
      <w:r>
        <w:rPr>
          <w:rFonts w:hint="eastAsia" w:ascii="方正大标宋简体" w:hAnsi="方正大标宋简体" w:eastAsia="方正大标宋简体" w:cs="方正大标宋简体"/>
          <w:b/>
          <w:bCs/>
          <w:sz w:val="36"/>
          <w:szCs w:val="36"/>
        </w:rPr>
        <w:t>基本信用评价标准</w:t>
      </w:r>
    </w:p>
    <w:tbl>
      <w:tblPr>
        <w:tblStyle w:val="9"/>
        <w:tblW w:w="14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739"/>
        <w:gridCol w:w="1422"/>
        <w:gridCol w:w="2551"/>
        <w:gridCol w:w="921"/>
        <w:gridCol w:w="7646"/>
      </w:tblGrid>
      <w:tr w14:paraId="6011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14" w:type="dxa"/>
            <w:tcBorders>
              <w:bottom w:val="single" w:color="000000" w:sz="4" w:space="0"/>
            </w:tcBorders>
          </w:tcPr>
          <w:p w14:paraId="493A1D5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仿宋" w:hAnsi="仿宋" w:eastAsia="仿宋"/>
                <w:b/>
                <w:bCs/>
                <w:sz w:val="28"/>
                <w:szCs w:val="28"/>
              </w:rPr>
            </w:pPr>
            <w:r>
              <w:rPr>
                <w:rFonts w:hint="eastAsia" w:ascii="仿宋" w:hAnsi="仿宋" w:eastAsia="仿宋"/>
                <w:b/>
                <w:bCs/>
                <w:sz w:val="28"/>
                <w:szCs w:val="28"/>
              </w:rPr>
              <w:t>类别</w:t>
            </w:r>
          </w:p>
          <w:p w14:paraId="3227823B">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8"/>
                <w:szCs w:val="28"/>
              </w:rPr>
            </w:pPr>
            <w:r>
              <w:rPr>
                <w:rFonts w:hint="eastAsia" w:ascii="仿宋" w:hAnsi="仿宋" w:eastAsia="仿宋"/>
                <w:b/>
                <w:bCs/>
                <w:sz w:val="28"/>
                <w:szCs w:val="28"/>
              </w:rPr>
              <w:t>（一级指标）</w:t>
            </w:r>
          </w:p>
        </w:tc>
        <w:tc>
          <w:tcPr>
            <w:tcW w:w="739" w:type="dxa"/>
            <w:tcBorders>
              <w:bottom w:val="single" w:color="000000" w:sz="4" w:space="0"/>
            </w:tcBorders>
          </w:tcPr>
          <w:p w14:paraId="30BBCF2E">
            <w:pPr>
              <w:keepNext w:val="0"/>
              <w:keepLines w:val="0"/>
              <w:pageBreakBefore w:val="0"/>
              <w:widowControl w:val="0"/>
              <w:kinsoku/>
              <w:wordWrap/>
              <w:overflowPunct/>
              <w:topLinePunct w:val="0"/>
              <w:autoSpaceDE/>
              <w:autoSpaceDN/>
              <w:bidi w:val="0"/>
              <w:adjustRightInd/>
              <w:snapToGrid/>
              <w:spacing w:after="0" w:line="340" w:lineRule="exact"/>
              <w:jc w:val="both"/>
              <w:textAlignment w:val="auto"/>
              <w:rPr>
                <w:rFonts w:hint="eastAsia" w:ascii="仿宋" w:hAnsi="仿宋" w:eastAsia="仿宋"/>
                <w:b/>
                <w:bCs/>
                <w:sz w:val="28"/>
                <w:szCs w:val="28"/>
              </w:rPr>
            </w:pPr>
            <w:r>
              <w:rPr>
                <w:rFonts w:hint="eastAsia" w:ascii="仿宋" w:hAnsi="仿宋" w:eastAsia="仿宋"/>
                <w:b/>
                <w:bCs/>
                <w:sz w:val="28"/>
                <w:szCs w:val="28"/>
              </w:rPr>
              <w:t>序号</w:t>
            </w:r>
          </w:p>
        </w:tc>
        <w:tc>
          <w:tcPr>
            <w:tcW w:w="1422" w:type="dxa"/>
            <w:tcBorders>
              <w:bottom w:val="single" w:color="000000" w:sz="4" w:space="0"/>
            </w:tcBorders>
          </w:tcPr>
          <w:p w14:paraId="284F691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8"/>
                <w:szCs w:val="28"/>
              </w:rPr>
            </w:pPr>
          </w:p>
          <w:p w14:paraId="3007D59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8"/>
                <w:szCs w:val="28"/>
              </w:rPr>
            </w:pPr>
            <w:r>
              <w:rPr>
                <w:rFonts w:hint="eastAsia" w:ascii="仿宋" w:hAnsi="仿宋" w:eastAsia="仿宋"/>
                <w:b/>
                <w:bCs/>
                <w:sz w:val="28"/>
                <w:szCs w:val="28"/>
              </w:rPr>
              <w:t>二级指标</w:t>
            </w:r>
          </w:p>
        </w:tc>
        <w:tc>
          <w:tcPr>
            <w:tcW w:w="2551" w:type="dxa"/>
            <w:tcBorders>
              <w:bottom w:val="single" w:color="000000" w:sz="4" w:space="0"/>
            </w:tcBorders>
          </w:tcPr>
          <w:p w14:paraId="67159564">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8"/>
                <w:szCs w:val="28"/>
              </w:rPr>
            </w:pPr>
          </w:p>
          <w:p w14:paraId="379A5022">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8"/>
                <w:szCs w:val="28"/>
              </w:rPr>
            </w:pPr>
            <w:r>
              <w:rPr>
                <w:rFonts w:hint="eastAsia" w:ascii="仿宋" w:hAnsi="仿宋" w:eastAsia="仿宋"/>
                <w:b/>
                <w:bCs/>
                <w:sz w:val="28"/>
                <w:szCs w:val="28"/>
              </w:rPr>
              <w:t>三级指标</w:t>
            </w:r>
          </w:p>
        </w:tc>
        <w:tc>
          <w:tcPr>
            <w:tcW w:w="921" w:type="dxa"/>
            <w:tcBorders>
              <w:bottom w:val="single" w:color="000000" w:sz="4" w:space="0"/>
            </w:tcBorders>
          </w:tcPr>
          <w:p w14:paraId="246DAAE6">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8"/>
                <w:szCs w:val="28"/>
              </w:rPr>
            </w:pPr>
          </w:p>
          <w:p w14:paraId="3601045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8"/>
                <w:szCs w:val="28"/>
              </w:rPr>
            </w:pPr>
            <w:r>
              <w:rPr>
                <w:rFonts w:hint="eastAsia" w:ascii="仿宋" w:hAnsi="仿宋" w:eastAsia="仿宋"/>
                <w:b/>
                <w:bCs/>
                <w:sz w:val="28"/>
                <w:szCs w:val="28"/>
              </w:rPr>
              <w:t>分值</w:t>
            </w:r>
          </w:p>
        </w:tc>
        <w:tc>
          <w:tcPr>
            <w:tcW w:w="7646" w:type="dxa"/>
            <w:tcBorders>
              <w:bottom w:val="single" w:color="000000" w:sz="4" w:space="0"/>
            </w:tcBorders>
          </w:tcPr>
          <w:p w14:paraId="11E78EDB">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8"/>
                <w:szCs w:val="28"/>
              </w:rPr>
            </w:pPr>
          </w:p>
          <w:p w14:paraId="1AB8DFC4">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指标说明</w:t>
            </w:r>
          </w:p>
        </w:tc>
      </w:tr>
      <w:tr w14:paraId="09F9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514" w:type="dxa"/>
            <w:vMerge w:val="restart"/>
            <w:tcBorders>
              <w:top w:val="single" w:color="000000" w:sz="4" w:space="0"/>
              <w:left w:val="single" w:color="000000" w:sz="4" w:space="0"/>
              <w:bottom w:val="single" w:color="000000" w:sz="4" w:space="0"/>
              <w:right w:val="single" w:color="000000" w:sz="4" w:space="0"/>
            </w:tcBorders>
          </w:tcPr>
          <w:p w14:paraId="7131B774">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508EA94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2B780F0B">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501A862F">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1EE6790E">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079745F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3C769BF5">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3D9B40D4">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受评</w:t>
            </w:r>
          </w:p>
          <w:p w14:paraId="55B497F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主体</w:t>
            </w:r>
          </w:p>
          <w:p w14:paraId="372BF6C3">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基本</w:t>
            </w:r>
          </w:p>
          <w:p w14:paraId="08CD4E6C">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素质</w:t>
            </w:r>
          </w:p>
          <w:p w14:paraId="10C6712E">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（24分）</w:t>
            </w:r>
          </w:p>
        </w:tc>
        <w:tc>
          <w:tcPr>
            <w:tcW w:w="739" w:type="dxa"/>
            <w:vMerge w:val="restart"/>
            <w:tcBorders>
              <w:top w:val="single" w:color="000000" w:sz="4" w:space="0"/>
              <w:left w:val="single" w:color="000000" w:sz="4" w:space="0"/>
              <w:bottom w:val="single" w:color="000000" w:sz="4" w:space="0"/>
              <w:right w:val="single" w:color="000000" w:sz="4" w:space="0"/>
            </w:tcBorders>
          </w:tcPr>
          <w:p w14:paraId="1484AD4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013D3AA3">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27F0A470">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1</w:t>
            </w:r>
          </w:p>
        </w:tc>
        <w:tc>
          <w:tcPr>
            <w:tcW w:w="1422" w:type="dxa"/>
            <w:vMerge w:val="restart"/>
            <w:tcBorders>
              <w:top w:val="single" w:color="000000" w:sz="4" w:space="0"/>
              <w:left w:val="single" w:color="000000" w:sz="4" w:space="0"/>
              <w:bottom w:val="single" w:color="000000" w:sz="4" w:space="0"/>
              <w:right w:val="single" w:color="000000" w:sz="4" w:space="0"/>
            </w:tcBorders>
          </w:tcPr>
          <w:p w14:paraId="193EC48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仿宋" w:hAnsi="仿宋" w:eastAsia="仿宋"/>
                <w:sz w:val="24"/>
                <w:szCs w:val="24"/>
              </w:rPr>
            </w:pPr>
          </w:p>
          <w:p w14:paraId="48FC227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250802F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企业规模</w:t>
            </w:r>
          </w:p>
          <w:p w14:paraId="55E1356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（6分）</w:t>
            </w:r>
          </w:p>
        </w:tc>
        <w:tc>
          <w:tcPr>
            <w:tcW w:w="2551" w:type="dxa"/>
            <w:tcBorders>
              <w:top w:val="single" w:color="000000" w:sz="4" w:space="0"/>
              <w:left w:val="single" w:color="000000" w:sz="4" w:space="0"/>
              <w:bottom w:val="single" w:color="000000" w:sz="4" w:space="0"/>
              <w:right w:val="single" w:color="000000" w:sz="4" w:space="0"/>
            </w:tcBorders>
          </w:tcPr>
          <w:p w14:paraId="3BCA8CA8">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lang w:eastAsia="zh-CN"/>
              </w:rPr>
            </w:pPr>
            <w:r>
              <w:rPr>
                <w:rFonts w:hint="eastAsia" w:ascii="仿宋" w:hAnsi="仿宋" w:eastAsia="仿宋"/>
                <w:sz w:val="24"/>
                <w:szCs w:val="24"/>
              </w:rPr>
              <w:t>总资产</w:t>
            </w:r>
          </w:p>
        </w:tc>
        <w:tc>
          <w:tcPr>
            <w:tcW w:w="921" w:type="dxa"/>
            <w:tcBorders>
              <w:top w:val="single" w:color="000000" w:sz="4" w:space="0"/>
              <w:left w:val="single" w:color="000000" w:sz="4" w:space="0"/>
              <w:bottom w:val="single" w:color="000000" w:sz="4" w:space="0"/>
              <w:right w:val="single" w:color="000000" w:sz="4" w:space="0"/>
            </w:tcBorders>
          </w:tcPr>
          <w:p w14:paraId="6482D382">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3</w:t>
            </w:r>
          </w:p>
        </w:tc>
        <w:tc>
          <w:tcPr>
            <w:tcW w:w="7646" w:type="dxa"/>
            <w:tcBorders>
              <w:top w:val="single" w:color="000000" w:sz="4" w:space="0"/>
              <w:left w:val="single" w:color="000000" w:sz="4" w:space="0"/>
              <w:right w:val="single" w:color="000000" w:sz="4" w:space="0"/>
            </w:tcBorders>
          </w:tcPr>
          <w:p w14:paraId="1272340A">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通过对受评主体最近一年度总资产规模的统计，评估受评主体的总体实力。</w:t>
            </w:r>
          </w:p>
        </w:tc>
      </w:tr>
      <w:tr w14:paraId="07A2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14" w:type="dxa"/>
            <w:vMerge w:val="continue"/>
            <w:tcBorders>
              <w:top w:val="single" w:color="000000" w:sz="4" w:space="0"/>
              <w:left w:val="single" w:color="000000" w:sz="4" w:space="0"/>
              <w:bottom w:val="single" w:color="000000" w:sz="4" w:space="0"/>
              <w:right w:val="single" w:color="000000" w:sz="4" w:space="0"/>
            </w:tcBorders>
          </w:tcPr>
          <w:p w14:paraId="3315856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tcPr>
          <w:p w14:paraId="5BAAA863">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tc>
        <w:tc>
          <w:tcPr>
            <w:tcW w:w="1422" w:type="dxa"/>
            <w:vMerge w:val="continue"/>
            <w:tcBorders>
              <w:top w:val="single" w:color="000000" w:sz="4" w:space="0"/>
              <w:left w:val="single" w:color="000000" w:sz="4" w:space="0"/>
              <w:bottom w:val="single" w:color="000000" w:sz="4" w:space="0"/>
              <w:right w:val="single" w:color="000000" w:sz="4" w:space="0"/>
            </w:tcBorders>
          </w:tcPr>
          <w:p w14:paraId="3D0AC91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2551" w:type="dxa"/>
            <w:tcBorders>
              <w:top w:val="single" w:color="000000" w:sz="4" w:space="0"/>
              <w:left w:val="single" w:color="000000" w:sz="4" w:space="0"/>
              <w:bottom w:val="single" w:color="000000" w:sz="4" w:space="0"/>
              <w:right w:val="single" w:color="000000" w:sz="4" w:space="0"/>
            </w:tcBorders>
          </w:tcPr>
          <w:p w14:paraId="61D22DA2">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净资产</w:t>
            </w:r>
          </w:p>
        </w:tc>
        <w:tc>
          <w:tcPr>
            <w:tcW w:w="921" w:type="dxa"/>
            <w:tcBorders>
              <w:top w:val="single" w:color="000000" w:sz="4" w:space="0"/>
              <w:left w:val="single" w:color="000000" w:sz="4" w:space="0"/>
              <w:bottom w:val="single" w:color="000000" w:sz="4" w:space="0"/>
              <w:right w:val="single" w:color="000000" w:sz="4" w:space="0"/>
            </w:tcBorders>
          </w:tcPr>
          <w:p w14:paraId="572D805C">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2</w:t>
            </w:r>
          </w:p>
        </w:tc>
        <w:tc>
          <w:tcPr>
            <w:tcW w:w="7646" w:type="dxa"/>
            <w:tcBorders>
              <w:left w:val="single" w:color="000000" w:sz="4" w:space="0"/>
              <w:right w:val="single" w:color="000000" w:sz="4" w:space="0"/>
            </w:tcBorders>
          </w:tcPr>
          <w:p w14:paraId="23CBD3FB">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通过对受评主体最近一年度净资产占总资产的比例统计，评估受评主体可支配、可动员的资源能力。</w:t>
            </w:r>
          </w:p>
        </w:tc>
      </w:tr>
      <w:tr w14:paraId="5678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tcBorders>
              <w:top w:val="single" w:color="000000" w:sz="4" w:space="0"/>
              <w:left w:val="single" w:color="000000" w:sz="4" w:space="0"/>
              <w:bottom w:val="single" w:color="000000" w:sz="4" w:space="0"/>
              <w:right w:val="single" w:color="000000" w:sz="4" w:space="0"/>
            </w:tcBorders>
          </w:tcPr>
          <w:p w14:paraId="71EA961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tcPr>
          <w:p w14:paraId="4F8DC61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tc>
        <w:tc>
          <w:tcPr>
            <w:tcW w:w="1422" w:type="dxa"/>
            <w:vMerge w:val="continue"/>
            <w:tcBorders>
              <w:top w:val="single" w:color="000000" w:sz="4" w:space="0"/>
              <w:left w:val="single" w:color="000000" w:sz="4" w:space="0"/>
              <w:bottom w:val="single" w:color="000000" w:sz="4" w:space="0"/>
              <w:right w:val="single" w:color="000000" w:sz="4" w:space="0"/>
            </w:tcBorders>
          </w:tcPr>
          <w:p w14:paraId="0CF5BF1F">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2551" w:type="dxa"/>
            <w:tcBorders>
              <w:top w:val="single" w:color="000000" w:sz="4" w:space="0"/>
              <w:left w:val="single" w:color="000000" w:sz="4" w:space="0"/>
              <w:bottom w:val="single" w:color="000000" w:sz="4" w:space="0"/>
              <w:right w:val="single" w:color="000000" w:sz="4" w:space="0"/>
            </w:tcBorders>
          </w:tcPr>
          <w:p w14:paraId="4AB1BC69">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营业收入增长率</w:t>
            </w:r>
          </w:p>
        </w:tc>
        <w:tc>
          <w:tcPr>
            <w:tcW w:w="921" w:type="dxa"/>
            <w:tcBorders>
              <w:top w:val="single" w:color="000000" w:sz="4" w:space="0"/>
              <w:left w:val="single" w:color="000000" w:sz="4" w:space="0"/>
              <w:bottom w:val="single" w:color="000000" w:sz="4" w:space="0"/>
              <w:right w:val="single" w:color="000000" w:sz="4" w:space="0"/>
            </w:tcBorders>
          </w:tcPr>
          <w:p w14:paraId="1F95F22C">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1</w:t>
            </w:r>
          </w:p>
        </w:tc>
        <w:tc>
          <w:tcPr>
            <w:tcW w:w="7646" w:type="dxa"/>
            <w:tcBorders>
              <w:left w:val="single" w:color="000000" w:sz="4" w:space="0"/>
              <w:bottom w:val="single" w:color="000000" w:sz="4" w:space="0"/>
              <w:right w:val="single" w:color="000000" w:sz="4" w:space="0"/>
            </w:tcBorders>
          </w:tcPr>
          <w:p w14:paraId="7CA8E02D">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通过对受评主体最近一年度营业收入增长率指标的统计，评估受评主体资本积累的能力和发展的潜力。</w:t>
            </w:r>
          </w:p>
        </w:tc>
      </w:tr>
      <w:tr w14:paraId="6132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14" w:type="dxa"/>
            <w:vMerge w:val="continue"/>
            <w:tcBorders>
              <w:top w:val="single" w:color="000000" w:sz="4" w:space="0"/>
              <w:left w:val="single" w:color="000000" w:sz="4" w:space="0"/>
              <w:bottom w:val="single" w:color="000000" w:sz="4" w:space="0"/>
              <w:right w:val="single" w:color="000000" w:sz="4" w:space="0"/>
            </w:tcBorders>
          </w:tcPr>
          <w:p w14:paraId="5CC7601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tc>
        <w:tc>
          <w:tcPr>
            <w:tcW w:w="739" w:type="dxa"/>
            <w:vMerge w:val="restart"/>
            <w:tcBorders>
              <w:top w:val="single" w:color="000000" w:sz="4" w:space="0"/>
              <w:left w:val="single" w:color="000000" w:sz="4" w:space="0"/>
              <w:bottom w:val="single" w:color="000000" w:sz="4" w:space="0"/>
              <w:right w:val="single" w:color="000000" w:sz="4" w:space="0"/>
            </w:tcBorders>
          </w:tcPr>
          <w:p w14:paraId="66401D9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67BF315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2</w:t>
            </w:r>
          </w:p>
        </w:tc>
        <w:tc>
          <w:tcPr>
            <w:tcW w:w="1422" w:type="dxa"/>
            <w:vMerge w:val="restart"/>
            <w:tcBorders>
              <w:top w:val="single" w:color="000000" w:sz="4" w:space="0"/>
              <w:left w:val="single" w:color="000000" w:sz="4" w:space="0"/>
              <w:bottom w:val="single" w:color="000000" w:sz="4" w:space="0"/>
              <w:right w:val="single" w:color="000000" w:sz="4" w:space="0"/>
            </w:tcBorders>
          </w:tcPr>
          <w:p w14:paraId="33EB7F1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经营年限及重点工作</w:t>
            </w:r>
          </w:p>
          <w:p w14:paraId="2CD3E923">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（4分）</w:t>
            </w:r>
          </w:p>
        </w:tc>
        <w:tc>
          <w:tcPr>
            <w:tcW w:w="2551" w:type="dxa"/>
            <w:tcBorders>
              <w:top w:val="single" w:color="000000" w:sz="4" w:space="0"/>
              <w:left w:val="single" w:color="000000" w:sz="4" w:space="0"/>
              <w:bottom w:val="single" w:color="000000" w:sz="4" w:space="0"/>
              <w:right w:val="single" w:color="000000" w:sz="4" w:space="0"/>
            </w:tcBorders>
          </w:tcPr>
          <w:p w14:paraId="58A3AF1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经营年限</w:t>
            </w:r>
          </w:p>
        </w:tc>
        <w:tc>
          <w:tcPr>
            <w:tcW w:w="921" w:type="dxa"/>
            <w:tcBorders>
              <w:top w:val="single" w:color="000000" w:sz="4" w:space="0"/>
              <w:left w:val="single" w:color="000000" w:sz="4" w:space="0"/>
              <w:bottom w:val="single" w:color="000000" w:sz="4" w:space="0"/>
              <w:right w:val="single" w:color="000000" w:sz="4" w:space="0"/>
            </w:tcBorders>
          </w:tcPr>
          <w:p w14:paraId="1A80FB38">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2</w:t>
            </w:r>
          </w:p>
        </w:tc>
        <w:tc>
          <w:tcPr>
            <w:tcW w:w="7646" w:type="dxa"/>
            <w:tcBorders>
              <w:top w:val="single" w:color="000000" w:sz="4" w:space="0"/>
              <w:left w:val="single" w:color="000000" w:sz="4" w:space="0"/>
              <w:bottom w:val="single" w:color="000000" w:sz="4" w:space="0"/>
              <w:right w:val="single" w:color="000000" w:sz="4" w:space="0"/>
            </w:tcBorders>
          </w:tcPr>
          <w:p w14:paraId="0D06DE25">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通过对受评主体存续时间的考核，评估受评主体对市场的掌控能力和行业经验的丰富性。</w:t>
            </w:r>
          </w:p>
        </w:tc>
      </w:tr>
      <w:tr w14:paraId="4827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Merge w:val="continue"/>
            <w:tcBorders>
              <w:top w:val="single" w:color="000000" w:sz="4" w:space="0"/>
              <w:left w:val="single" w:color="000000" w:sz="4" w:space="0"/>
              <w:bottom w:val="single" w:color="000000" w:sz="4" w:space="0"/>
              <w:right w:val="single" w:color="000000" w:sz="4" w:space="0"/>
            </w:tcBorders>
          </w:tcPr>
          <w:p w14:paraId="438E7EA3">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tcPr>
          <w:p w14:paraId="4C9D0CFB">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tc>
        <w:tc>
          <w:tcPr>
            <w:tcW w:w="1422" w:type="dxa"/>
            <w:vMerge w:val="continue"/>
            <w:tcBorders>
              <w:top w:val="single" w:color="000000" w:sz="4" w:space="0"/>
              <w:left w:val="single" w:color="000000" w:sz="4" w:space="0"/>
              <w:bottom w:val="single" w:color="000000" w:sz="4" w:space="0"/>
              <w:right w:val="single" w:color="000000" w:sz="4" w:space="0"/>
            </w:tcBorders>
          </w:tcPr>
          <w:p w14:paraId="4007D246">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Borders>
              <w:top w:val="single" w:color="000000" w:sz="4" w:space="0"/>
              <w:left w:val="single" w:color="000000" w:sz="4" w:space="0"/>
              <w:bottom w:val="single" w:color="000000" w:sz="4" w:space="0"/>
              <w:right w:val="single" w:color="000000" w:sz="4" w:space="0"/>
            </w:tcBorders>
          </w:tcPr>
          <w:p w14:paraId="071AA026">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仿宋" w:hAnsi="仿宋" w:eastAsia="仿宋"/>
                <w:sz w:val="24"/>
                <w:szCs w:val="24"/>
              </w:rPr>
            </w:pPr>
            <w:r>
              <w:rPr>
                <w:rFonts w:hint="eastAsia" w:ascii="仿宋" w:hAnsi="仿宋" w:eastAsia="仿宋"/>
                <w:sz w:val="24"/>
                <w:szCs w:val="24"/>
              </w:rPr>
              <w:t>承建重点工程的数量</w:t>
            </w:r>
          </w:p>
        </w:tc>
        <w:tc>
          <w:tcPr>
            <w:tcW w:w="921" w:type="dxa"/>
            <w:tcBorders>
              <w:top w:val="single" w:color="000000" w:sz="4" w:space="0"/>
              <w:left w:val="single" w:color="000000" w:sz="4" w:space="0"/>
              <w:bottom w:val="single" w:color="000000" w:sz="4" w:space="0"/>
              <w:right w:val="single" w:color="000000" w:sz="4" w:space="0"/>
            </w:tcBorders>
          </w:tcPr>
          <w:p w14:paraId="237E87AE">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2</w:t>
            </w:r>
          </w:p>
        </w:tc>
        <w:tc>
          <w:tcPr>
            <w:tcW w:w="7646" w:type="dxa"/>
            <w:tcBorders>
              <w:top w:val="single" w:color="000000" w:sz="4" w:space="0"/>
              <w:left w:val="single" w:color="000000" w:sz="4" w:space="0"/>
              <w:bottom w:val="single" w:color="000000" w:sz="4" w:space="0"/>
              <w:right w:val="single" w:color="000000" w:sz="4" w:space="0"/>
            </w:tcBorders>
          </w:tcPr>
          <w:p w14:paraId="1700BE02">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通过对受评主体近三年承建重点工程（国家、省市）数量的统计，评估受评主体的市场影响力及品牌价值。</w:t>
            </w:r>
          </w:p>
        </w:tc>
      </w:tr>
      <w:tr w14:paraId="2592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14" w:type="dxa"/>
            <w:vMerge w:val="continue"/>
            <w:tcBorders>
              <w:top w:val="single" w:color="000000" w:sz="4" w:space="0"/>
              <w:left w:val="single" w:color="000000" w:sz="4" w:space="0"/>
              <w:bottom w:val="single" w:color="000000" w:sz="4" w:space="0"/>
              <w:right w:val="single" w:color="000000" w:sz="4" w:space="0"/>
            </w:tcBorders>
          </w:tcPr>
          <w:p w14:paraId="5081E42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tc>
        <w:tc>
          <w:tcPr>
            <w:tcW w:w="739" w:type="dxa"/>
            <w:vMerge w:val="restart"/>
            <w:tcBorders>
              <w:top w:val="single" w:color="000000" w:sz="4" w:space="0"/>
              <w:left w:val="single" w:color="000000" w:sz="4" w:space="0"/>
              <w:bottom w:val="single" w:color="000000" w:sz="4" w:space="0"/>
              <w:right w:val="single" w:color="000000" w:sz="4" w:space="0"/>
            </w:tcBorders>
          </w:tcPr>
          <w:p w14:paraId="1BE073E0">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5E407385">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221B7F12">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3</w:t>
            </w:r>
          </w:p>
        </w:tc>
        <w:tc>
          <w:tcPr>
            <w:tcW w:w="1422" w:type="dxa"/>
            <w:vMerge w:val="restart"/>
            <w:tcBorders>
              <w:top w:val="single" w:color="000000" w:sz="4" w:space="0"/>
              <w:left w:val="single" w:color="000000" w:sz="4" w:space="0"/>
              <w:bottom w:val="single" w:color="000000" w:sz="4" w:space="0"/>
              <w:right w:val="single" w:color="000000" w:sz="4" w:space="0"/>
            </w:tcBorders>
          </w:tcPr>
          <w:p w14:paraId="11223BC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仿宋" w:hAnsi="仿宋" w:eastAsia="仿宋"/>
                <w:sz w:val="24"/>
                <w:szCs w:val="24"/>
              </w:rPr>
            </w:pPr>
          </w:p>
          <w:p w14:paraId="55372534">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法人、高管、人力</w:t>
            </w:r>
          </w:p>
          <w:p w14:paraId="13E69E86">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（8分）</w:t>
            </w:r>
          </w:p>
        </w:tc>
        <w:tc>
          <w:tcPr>
            <w:tcW w:w="2551" w:type="dxa"/>
            <w:tcBorders>
              <w:top w:val="single" w:color="000000" w:sz="4" w:space="0"/>
              <w:left w:val="single" w:color="000000" w:sz="4" w:space="0"/>
              <w:bottom w:val="single" w:color="000000" w:sz="4" w:space="0"/>
              <w:right w:val="single" w:color="000000" w:sz="4" w:space="0"/>
            </w:tcBorders>
          </w:tcPr>
          <w:p w14:paraId="115C2B03">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法人素质</w:t>
            </w:r>
          </w:p>
        </w:tc>
        <w:tc>
          <w:tcPr>
            <w:tcW w:w="921" w:type="dxa"/>
            <w:tcBorders>
              <w:top w:val="single" w:color="000000" w:sz="4" w:space="0"/>
              <w:left w:val="single" w:color="000000" w:sz="4" w:space="0"/>
              <w:bottom w:val="single" w:color="000000" w:sz="4" w:space="0"/>
              <w:right w:val="single" w:color="000000" w:sz="4" w:space="0"/>
            </w:tcBorders>
          </w:tcPr>
          <w:p w14:paraId="17EACBA3">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5</w:t>
            </w:r>
          </w:p>
        </w:tc>
        <w:tc>
          <w:tcPr>
            <w:tcW w:w="7646" w:type="dxa"/>
            <w:tcBorders>
              <w:top w:val="single" w:color="000000" w:sz="4" w:space="0"/>
              <w:left w:val="single" w:color="000000" w:sz="4" w:space="0"/>
              <w:bottom w:val="single" w:color="000000" w:sz="4" w:space="0"/>
              <w:right w:val="single" w:color="000000" w:sz="4" w:space="0"/>
            </w:tcBorders>
          </w:tcPr>
          <w:p w14:paraId="3BD97CDB">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受评主体法定代表人是否有违法违纪行为（司法或行政执法部门公示为准）。</w:t>
            </w:r>
          </w:p>
        </w:tc>
      </w:tr>
      <w:tr w14:paraId="5A0F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514" w:type="dxa"/>
            <w:vMerge w:val="continue"/>
            <w:tcBorders>
              <w:top w:val="single" w:color="000000" w:sz="4" w:space="0"/>
              <w:left w:val="single" w:color="000000" w:sz="4" w:space="0"/>
              <w:bottom w:val="single" w:color="000000" w:sz="4" w:space="0"/>
              <w:right w:val="single" w:color="000000" w:sz="4" w:space="0"/>
            </w:tcBorders>
          </w:tcPr>
          <w:p w14:paraId="2716E90F">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tcPr>
          <w:p w14:paraId="34F79FB8">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1422" w:type="dxa"/>
            <w:vMerge w:val="continue"/>
            <w:tcBorders>
              <w:top w:val="single" w:color="000000" w:sz="4" w:space="0"/>
              <w:left w:val="single" w:color="000000" w:sz="4" w:space="0"/>
              <w:bottom w:val="single" w:color="000000" w:sz="4" w:space="0"/>
              <w:right w:val="single" w:color="000000" w:sz="4" w:space="0"/>
            </w:tcBorders>
          </w:tcPr>
          <w:p w14:paraId="1AB72352">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Borders>
              <w:top w:val="single" w:color="000000" w:sz="4" w:space="0"/>
              <w:left w:val="single" w:color="000000" w:sz="4" w:space="0"/>
              <w:bottom w:val="single" w:color="000000" w:sz="4" w:space="0"/>
              <w:right w:val="single" w:color="000000" w:sz="4" w:space="0"/>
            </w:tcBorders>
          </w:tcPr>
          <w:p w14:paraId="7ED2D395">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高管素质</w:t>
            </w:r>
          </w:p>
        </w:tc>
        <w:tc>
          <w:tcPr>
            <w:tcW w:w="921" w:type="dxa"/>
            <w:tcBorders>
              <w:top w:val="single" w:color="000000" w:sz="4" w:space="0"/>
              <w:left w:val="single" w:color="000000" w:sz="4" w:space="0"/>
              <w:bottom w:val="single" w:color="000000" w:sz="4" w:space="0"/>
              <w:right w:val="single" w:color="000000" w:sz="4" w:space="0"/>
            </w:tcBorders>
          </w:tcPr>
          <w:p w14:paraId="790BF050">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5</w:t>
            </w:r>
          </w:p>
        </w:tc>
        <w:tc>
          <w:tcPr>
            <w:tcW w:w="7646" w:type="dxa"/>
            <w:tcBorders>
              <w:top w:val="single" w:color="000000" w:sz="4" w:space="0"/>
              <w:left w:val="single" w:color="000000" w:sz="4" w:space="0"/>
              <w:bottom w:val="single" w:color="000000" w:sz="4" w:space="0"/>
              <w:right w:val="single" w:color="000000" w:sz="4" w:space="0"/>
            </w:tcBorders>
          </w:tcPr>
          <w:p w14:paraId="5219301C">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通过对受评主体高层管理人员平均从业年限统计，评估高管的行业管理经验。</w:t>
            </w:r>
          </w:p>
        </w:tc>
      </w:tr>
      <w:tr w14:paraId="6310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14" w:type="dxa"/>
            <w:vMerge w:val="continue"/>
            <w:tcBorders>
              <w:top w:val="single" w:color="000000" w:sz="4" w:space="0"/>
              <w:left w:val="single" w:color="000000" w:sz="4" w:space="0"/>
              <w:bottom w:val="single" w:color="000000" w:sz="4" w:space="0"/>
              <w:right w:val="single" w:color="000000" w:sz="4" w:space="0"/>
            </w:tcBorders>
          </w:tcPr>
          <w:p w14:paraId="7060FD96">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Borders>
              <w:top w:val="single" w:color="000000" w:sz="4" w:space="0"/>
              <w:left w:val="single" w:color="000000" w:sz="4" w:space="0"/>
              <w:bottom w:val="single" w:color="000000" w:sz="4" w:space="0"/>
              <w:right w:val="single" w:color="000000" w:sz="4" w:space="0"/>
            </w:tcBorders>
          </w:tcPr>
          <w:p w14:paraId="53ED58C1">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1422" w:type="dxa"/>
            <w:vMerge w:val="continue"/>
            <w:tcBorders>
              <w:top w:val="single" w:color="000000" w:sz="4" w:space="0"/>
              <w:left w:val="single" w:color="000000" w:sz="4" w:space="0"/>
              <w:bottom w:val="single" w:color="000000" w:sz="4" w:space="0"/>
              <w:right w:val="single" w:color="000000" w:sz="4" w:space="0"/>
            </w:tcBorders>
          </w:tcPr>
          <w:p w14:paraId="5372C84B">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Borders>
              <w:top w:val="single" w:color="000000" w:sz="4" w:space="0"/>
              <w:left w:val="single" w:color="000000" w:sz="4" w:space="0"/>
              <w:bottom w:val="single" w:color="000000" w:sz="4" w:space="0"/>
              <w:right w:val="single" w:color="000000" w:sz="4" w:space="0"/>
            </w:tcBorders>
          </w:tcPr>
          <w:p w14:paraId="757AB976">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专业技术职称及专业注册人员比例</w:t>
            </w:r>
          </w:p>
        </w:tc>
        <w:tc>
          <w:tcPr>
            <w:tcW w:w="921" w:type="dxa"/>
            <w:tcBorders>
              <w:top w:val="single" w:color="000000" w:sz="4" w:space="0"/>
              <w:left w:val="single" w:color="000000" w:sz="4" w:space="0"/>
              <w:bottom w:val="single" w:color="000000" w:sz="4" w:space="0"/>
              <w:right w:val="single" w:color="000000" w:sz="4" w:space="0"/>
            </w:tcBorders>
          </w:tcPr>
          <w:p w14:paraId="0029EA5E">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4</w:t>
            </w:r>
          </w:p>
        </w:tc>
        <w:tc>
          <w:tcPr>
            <w:tcW w:w="7646" w:type="dxa"/>
            <w:tcBorders>
              <w:top w:val="single" w:color="000000" w:sz="4" w:space="0"/>
              <w:left w:val="single" w:color="000000" w:sz="4" w:space="0"/>
              <w:bottom w:val="single" w:color="000000" w:sz="4" w:space="0"/>
              <w:right w:val="single" w:color="000000" w:sz="4" w:space="0"/>
            </w:tcBorders>
          </w:tcPr>
          <w:p w14:paraId="55AD973A">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通过对受评主体注册建造师、专业工程师等专业从业人员占员工总数比例的统计，评估受评主体的技术实力。</w:t>
            </w:r>
          </w:p>
        </w:tc>
      </w:tr>
      <w:tr w14:paraId="73C5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14" w:type="dxa"/>
            <w:vMerge w:val="continue"/>
            <w:tcBorders>
              <w:top w:val="single" w:color="000000" w:sz="4" w:space="0"/>
              <w:left w:val="single" w:color="000000" w:sz="4" w:space="0"/>
              <w:bottom w:val="single" w:color="000000" w:sz="4" w:space="0"/>
              <w:right w:val="single" w:color="000000" w:sz="4" w:space="0"/>
            </w:tcBorders>
          </w:tcPr>
          <w:p w14:paraId="51474177">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tcBorders>
              <w:top w:val="single" w:color="000000" w:sz="4" w:space="0"/>
              <w:left w:val="single" w:color="000000" w:sz="4" w:space="0"/>
              <w:bottom w:val="single" w:color="000000" w:sz="4" w:space="0"/>
              <w:right w:val="single" w:color="000000" w:sz="4" w:space="0"/>
            </w:tcBorders>
          </w:tcPr>
          <w:p w14:paraId="35A7463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4</w:t>
            </w:r>
          </w:p>
        </w:tc>
        <w:tc>
          <w:tcPr>
            <w:tcW w:w="1422" w:type="dxa"/>
            <w:tcBorders>
              <w:top w:val="single" w:color="000000" w:sz="4" w:space="0"/>
              <w:left w:val="single" w:color="000000" w:sz="4" w:space="0"/>
              <w:bottom w:val="single" w:color="000000" w:sz="4" w:space="0"/>
              <w:right w:val="single" w:color="000000" w:sz="4" w:space="0"/>
            </w:tcBorders>
          </w:tcPr>
          <w:p w14:paraId="701D16D2">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股东</w:t>
            </w:r>
          </w:p>
          <w:p w14:paraId="6D3DEA4C">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（4分）</w:t>
            </w:r>
          </w:p>
        </w:tc>
        <w:tc>
          <w:tcPr>
            <w:tcW w:w="2551" w:type="dxa"/>
            <w:tcBorders>
              <w:top w:val="single" w:color="000000" w:sz="4" w:space="0"/>
              <w:left w:val="single" w:color="000000" w:sz="4" w:space="0"/>
              <w:bottom w:val="single" w:color="000000" w:sz="4" w:space="0"/>
              <w:right w:val="single" w:color="000000" w:sz="4" w:space="0"/>
            </w:tcBorders>
          </w:tcPr>
          <w:p w14:paraId="7B524D88">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921" w:type="dxa"/>
            <w:tcBorders>
              <w:top w:val="single" w:color="000000" w:sz="4" w:space="0"/>
              <w:left w:val="single" w:color="000000" w:sz="4" w:space="0"/>
              <w:bottom w:val="single" w:color="000000" w:sz="4" w:space="0"/>
              <w:right w:val="single" w:color="000000" w:sz="4" w:space="0"/>
            </w:tcBorders>
          </w:tcPr>
          <w:p w14:paraId="1F755837">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4</w:t>
            </w:r>
          </w:p>
        </w:tc>
        <w:tc>
          <w:tcPr>
            <w:tcW w:w="7646" w:type="dxa"/>
            <w:tcBorders>
              <w:top w:val="single" w:color="000000" w:sz="4" w:space="0"/>
              <w:left w:val="single" w:color="000000" w:sz="4" w:space="0"/>
              <w:bottom w:val="single" w:color="000000" w:sz="4" w:space="0"/>
              <w:right w:val="single" w:color="000000" w:sz="4" w:space="0"/>
            </w:tcBorders>
          </w:tcPr>
          <w:p w14:paraId="7CE86BBF">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通过对受评主体的股东背景考核，评估股东对受评主体可能的支持能力（融资支持或提供担保）。</w:t>
            </w:r>
          </w:p>
        </w:tc>
      </w:tr>
      <w:tr w14:paraId="34CC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514" w:type="dxa"/>
            <w:vMerge w:val="continue"/>
            <w:tcBorders>
              <w:top w:val="single" w:color="000000" w:sz="4" w:space="0"/>
              <w:left w:val="single" w:color="000000" w:sz="4" w:space="0"/>
              <w:bottom w:val="single" w:color="000000" w:sz="4" w:space="0"/>
              <w:right w:val="single" w:color="000000" w:sz="4" w:space="0"/>
            </w:tcBorders>
          </w:tcPr>
          <w:p w14:paraId="140FF8B1">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tcBorders>
              <w:top w:val="single" w:color="000000" w:sz="4" w:space="0"/>
              <w:left w:val="single" w:color="000000" w:sz="4" w:space="0"/>
              <w:bottom w:val="single" w:color="000000" w:sz="4" w:space="0"/>
              <w:right w:val="single" w:color="000000" w:sz="4" w:space="0"/>
            </w:tcBorders>
          </w:tcPr>
          <w:p w14:paraId="43C45838">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5</w:t>
            </w:r>
          </w:p>
        </w:tc>
        <w:tc>
          <w:tcPr>
            <w:tcW w:w="1422" w:type="dxa"/>
            <w:tcBorders>
              <w:top w:val="single" w:color="000000" w:sz="4" w:space="0"/>
              <w:left w:val="single" w:color="000000" w:sz="4" w:space="0"/>
              <w:bottom w:val="single" w:color="000000" w:sz="4" w:space="0"/>
              <w:right w:val="single" w:color="000000" w:sz="4" w:space="0"/>
            </w:tcBorders>
          </w:tcPr>
          <w:p w14:paraId="2F0885B0">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分支</w:t>
            </w:r>
          </w:p>
          <w:p w14:paraId="5E7945D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（2分）</w:t>
            </w:r>
          </w:p>
        </w:tc>
        <w:tc>
          <w:tcPr>
            <w:tcW w:w="2551" w:type="dxa"/>
            <w:tcBorders>
              <w:top w:val="single" w:color="000000" w:sz="4" w:space="0"/>
              <w:left w:val="single" w:color="000000" w:sz="4" w:space="0"/>
              <w:bottom w:val="single" w:color="000000" w:sz="4" w:space="0"/>
              <w:right w:val="single" w:color="000000" w:sz="4" w:space="0"/>
            </w:tcBorders>
          </w:tcPr>
          <w:p w14:paraId="6D793FB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921" w:type="dxa"/>
            <w:tcBorders>
              <w:top w:val="single" w:color="000000" w:sz="4" w:space="0"/>
              <w:left w:val="single" w:color="000000" w:sz="4" w:space="0"/>
              <w:bottom w:val="single" w:color="000000" w:sz="4" w:space="0"/>
              <w:right w:val="single" w:color="000000" w:sz="4" w:space="0"/>
            </w:tcBorders>
          </w:tcPr>
          <w:p w14:paraId="5F8E3DEC">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2</w:t>
            </w:r>
          </w:p>
        </w:tc>
        <w:tc>
          <w:tcPr>
            <w:tcW w:w="7646" w:type="dxa"/>
            <w:tcBorders>
              <w:top w:val="single" w:color="000000" w:sz="4" w:space="0"/>
              <w:left w:val="single" w:color="000000" w:sz="4" w:space="0"/>
              <w:bottom w:val="single" w:color="000000" w:sz="4" w:space="0"/>
              <w:right w:val="single" w:color="000000" w:sz="4" w:space="0"/>
            </w:tcBorders>
          </w:tcPr>
          <w:p w14:paraId="6EEA7D0B">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通过对受评主体分支机构的分布范围的考核，评估受评主体业务规模、资源调动和入市能力。</w:t>
            </w:r>
          </w:p>
        </w:tc>
      </w:tr>
      <w:tr w14:paraId="769B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14" w:type="dxa"/>
            <w:vMerge w:val="restart"/>
            <w:tcBorders>
              <w:top w:val="single" w:color="000000" w:sz="4" w:space="0"/>
            </w:tcBorders>
          </w:tcPr>
          <w:p w14:paraId="1E944E0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3C10B05F">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54D6F02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企业</w:t>
            </w:r>
          </w:p>
          <w:p w14:paraId="7D4AB0BE">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主体</w:t>
            </w:r>
          </w:p>
          <w:p w14:paraId="363ABBD8">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资质</w:t>
            </w:r>
          </w:p>
          <w:p w14:paraId="4424EA38">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b/>
                <w:bCs/>
                <w:sz w:val="24"/>
                <w:szCs w:val="24"/>
              </w:rPr>
              <w:t>（5分）</w:t>
            </w:r>
          </w:p>
        </w:tc>
        <w:tc>
          <w:tcPr>
            <w:tcW w:w="739" w:type="dxa"/>
            <w:vMerge w:val="restart"/>
            <w:tcBorders>
              <w:top w:val="single" w:color="000000" w:sz="4" w:space="0"/>
            </w:tcBorders>
          </w:tcPr>
          <w:p w14:paraId="7D00EBD0">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323F58B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573A322C">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1</w:t>
            </w:r>
          </w:p>
        </w:tc>
        <w:tc>
          <w:tcPr>
            <w:tcW w:w="1422" w:type="dxa"/>
            <w:vMerge w:val="restart"/>
            <w:tcBorders>
              <w:top w:val="single" w:color="000000" w:sz="4" w:space="0"/>
            </w:tcBorders>
          </w:tcPr>
          <w:p w14:paraId="316FCCEB">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6EA394E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rPr>
              <w:t>施工总承包资质</w:t>
            </w:r>
            <w:r>
              <w:rPr>
                <w:rFonts w:hint="eastAsia" w:ascii="仿宋" w:hAnsi="仿宋" w:eastAsia="仿宋"/>
                <w:sz w:val="24"/>
                <w:szCs w:val="24"/>
                <w:lang w:eastAsia="zh-CN"/>
              </w:rPr>
              <w:t>（</w:t>
            </w:r>
            <w:r>
              <w:rPr>
                <w:rFonts w:hint="eastAsia" w:ascii="仿宋" w:hAnsi="仿宋" w:eastAsia="仿宋"/>
                <w:sz w:val="24"/>
                <w:szCs w:val="24"/>
                <w:lang w:val="en-US" w:eastAsia="zh-CN"/>
              </w:rPr>
              <w:t>5分）</w:t>
            </w:r>
          </w:p>
        </w:tc>
        <w:tc>
          <w:tcPr>
            <w:tcW w:w="2551" w:type="dxa"/>
            <w:tcBorders>
              <w:top w:val="single" w:color="000000" w:sz="4" w:space="0"/>
            </w:tcBorders>
          </w:tcPr>
          <w:p w14:paraId="14954B3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特级资质</w:t>
            </w:r>
          </w:p>
        </w:tc>
        <w:tc>
          <w:tcPr>
            <w:tcW w:w="921" w:type="dxa"/>
            <w:tcBorders>
              <w:top w:val="single" w:color="000000" w:sz="4" w:space="0"/>
            </w:tcBorders>
          </w:tcPr>
          <w:p w14:paraId="3E739EC0">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c>
          <w:tcPr>
            <w:tcW w:w="7646" w:type="dxa"/>
            <w:vMerge w:val="restart"/>
            <w:tcBorders>
              <w:top w:val="single" w:color="000000" w:sz="4" w:space="0"/>
            </w:tcBorders>
          </w:tcPr>
          <w:p w14:paraId="762B61EF">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p w14:paraId="7F3911C6">
            <w:pPr>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eastAsia" w:ascii="仿宋" w:hAnsi="仿宋" w:eastAsia="仿宋"/>
                <w:sz w:val="24"/>
                <w:szCs w:val="24"/>
                <w:lang w:val="en-US" w:eastAsia="zh-CN"/>
              </w:rPr>
            </w:pPr>
          </w:p>
          <w:p w14:paraId="242BFC14">
            <w:pPr>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通过对受评主体资质的考核，评估其承接工程项目的能力，同时具有总承包资质和专业承包资质的投标人以两项中的高分计算。</w:t>
            </w:r>
          </w:p>
        </w:tc>
      </w:tr>
      <w:tr w14:paraId="59C9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14" w:type="dxa"/>
            <w:vMerge w:val="continue"/>
          </w:tcPr>
          <w:p w14:paraId="13BC3F34">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37D15DC5">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1422" w:type="dxa"/>
            <w:vMerge w:val="continue"/>
          </w:tcPr>
          <w:p w14:paraId="76072B06">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0C0A8AEE">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一级资质</w:t>
            </w:r>
          </w:p>
        </w:tc>
        <w:tc>
          <w:tcPr>
            <w:tcW w:w="921" w:type="dxa"/>
          </w:tcPr>
          <w:p w14:paraId="0B8088C8">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c>
          <w:tcPr>
            <w:tcW w:w="7646" w:type="dxa"/>
            <w:vMerge w:val="continue"/>
          </w:tcPr>
          <w:p w14:paraId="2E0AC421">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r>
      <w:tr w14:paraId="3652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14" w:type="dxa"/>
            <w:vMerge w:val="continue"/>
          </w:tcPr>
          <w:p w14:paraId="02738D0A">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25F67ADF">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1422" w:type="dxa"/>
            <w:vMerge w:val="continue"/>
          </w:tcPr>
          <w:p w14:paraId="7BD4865E">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2333AE53">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二级资质</w:t>
            </w:r>
          </w:p>
        </w:tc>
        <w:tc>
          <w:tcPr>
            <w:tcW w:w="921" w:type="dxa"/>
          </w:tcPr>
          <w:p w14:paraId="10B36878">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7646" w:type="dxa"/>
            <w:vMerge w:val="continue"/>
          </w:tcPr>
          <w:p w14:paraId="6CCB34A0">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r>
      <w:tr w14:paraId="26CF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14" w:type="dxa"/>
            <w:vMerge w:val="continue"/>
          </w:tcPr>
          <w:p w14:paraId="04DE1E03">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restart"/>
          </w:tcPr>
          <w:p w14:paraId="0ECF725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5831FA95">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2</w:t>
            </w:r>
          </w:p>
        </w:tc>
        <w:tc>
          <w:tcPr>
            <w:tcW w:w="1422" w:type="dxa"/>
            <w:vMerge w:val="restart"/>
          </w:tcPr>
          <w:p w14:paraId="67A93E92">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专业承包</w:t>
            </w:r>
          </w:p>
          <w:p w14:paraId="10670764">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default" w:ascii="仿宋" w:hAnsi="仿宋" w:eastAsia="仿宋"/>
                <w:sz w:val="24"/>
                <w:szCs w:val="24"/>
                <w:lang w:val="en-US"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5分）</w:t>
            </w:r>
          </w:p>
        </w:tc>
        <w:tc>
          <w:tcPr>
            <w:tcW w:w="2551" w:type="dxa"/>
          </w:tcPr>
          <w:p w14:paraId="5B9331F6">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一级资质</w:t>
            </w:r>
          </w:p>
        </w:tc>
        <w:tc>
          <w:tcPr>
            <w:tcW w:w="921" w:type="dxa"/>
          </w:tcPr>
          <w:p w14:paraId="38F091C5">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c>
          <w:tcPr>
            <w:tcW w:w="7646" w:type="dxa"/>
            <w:vMerge w:val="continue"/>
          </w:tcPr>
          <w:p w14:paraId="61D93C0A">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r>
      <w:tr w14:paraId="74C7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514" w:type="dxa"/>
            <w:vMerge w:val="continue"/>
          </w:tcPr>
          <w:p w14:paraId="5BF8E8DE">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770A8056">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1422" w:type="dxa"/>
            <w:vMerge w:val="continue"/>
          </w:tcPr>
          <w:p w14:paraId="68EA4E76">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7FD1025E">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二级资质</w:t>
            </w:r>
          </w:p>
        </w:tc>
        <w:tc>
          <w:tcPr>
            <w:tcW w:w="921" w:type="dxa"/>
          </w:tcPr>
          <w:p w14:paraId="1054D9DF">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7646" w:type="dxa"/>
            <w:vMerge w:val="continue"/>
          </w:tcPr>
          <w:p w14:paraId="340EA3E6">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r>
      <w:tr w14:paraId="6868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4" w:type="dxa"/>
            <w:vMerge w:val="restart"/>
          </w:tcPr>
          <w:p w14:paraId="14484BA2">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34B89385">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00ACCEB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7F7EB200">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0FCBC8A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0531634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0AC3DF80">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7076474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经营</w:t>
            </w:r>
          </w:p>
          <w:p w14:paraId="2D3E8E1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管理</w:t>
            </w:r>
          </w:p>
          <w:p w14:paraId="6DD2578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能力</w:t>
            </w:r>
          </w:p>
          <w:p w14:paraId="4B7986DE">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lang w:eastAsia="zh-CN"/>
              </w:rPr>
            </w:pPr>
            <w:r>
              <w:rPr>
                <w:rFonts w:hint="eastAsia" w:ascii="仿宋" w:hAnsi="仿宋" w:eastAsia="仿宋"/>
                <w:b/>
                <w:bCs/>
                <w:sz w:val="24"/>
                <w:szCs w:val="24"/>
              </w:rPr>
              <w:t>（35分</w:t>
            </w:r>
            <w:r>
              <w:rPr>
                <w:rFonts w:hint="eastAsia" w:ascii="仿宋" w:hAnsi="仿宋" w:eastAsia="仿宋"/>
                <w:b/>
                <w:bCs/>
                <w:sz w:val="24"/>
                <w:szCs w:val="24"/>
                <w:lang w:eastAsia="zh-CN"/>
              </w:rPr>
              <w:t>）</w:t>
            </w:r>
          </w:p>
        </w:tc>
        <w:tc>
          <w:tcPr>
            <w:tcW w:w="739" w:type="dxa"/>
            <w:vMerge w:val="restart"/>
          </w:tcPr>
          <w:p w14:paraId="345272E3">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6F355E4F">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7B6E654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40F93755">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78EFED0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19B01DB6">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1037C41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1</w:t>
            </w:r>
          </w:p>
        </w:tc>
        <w:tc>
          <w:tcPr>
            <w:tcW w:w="1422" w:type="dxa"/>
            <w:vMerge w:val="restart"/>
          </w:tcPr>
          <w:p w14:paraId="5B5349F3">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p w14:paraId="758627FD">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p w14:paraId="73BF7EA0">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p w14:paraId="23ADE8E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0D09DDF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4A409B02">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制度</w:t>
            </w:r>
          </w:p>
          <w:p w14:paraId="438BF0C5">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建设</w:t>
            </w:r>
          </w:p>
          <w:p w14:paraId="466AB79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（17分）</w:t>
            </w:r>
          </w:p>
        </w:tc>
        <w:tc>
          <w:tcPr>
            <w:tcW w:w="2551" w:type="dxa"/>
          </w:tcPr>
          <w:p w14:paraId="07111045">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公司治理结构</w:t>
            </w:r>
          </w:p>
        </w:tc>
        <w:tc>
          <w:tcPr>
            <w:tcW w:w="921" w:type="dxa"/>
          </w:tcPr>
          <w:p w14:paraId="34A9CB55">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3</w:t>
            </w:r>
          </w:p>
        </w:tc>
        <w:tc>
          <w:tcPr>
            <w:tcW w:w="7646" w:type="dxa"/>
          </w:tcPr>
          <w:p w14:paraId="70EA526B">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考核受评主体组织架构的设立是否合理有效。</w:t>
            </w:r>
          </w:p>
        </w:tc>
      </w:tr>
      <w:tr w14:paraId="1FA0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14" w:type="dxa"/>
            <w:vMerge w:val="continue"/>
          </w:tcPr>
          <w:p w14:paraId="11A2492A">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19DD7A4C">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1422" w:type="dxa"/>
            <w:vMerge w:val="continue"/>
          </w:tcPr>
          <w:p w14:paraId="60A96543">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5D9EA942">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项目管理制度</w:t>
            </w:r>
          </w:p>
        </w:tc>
        <w:tc>
          <w:tcPr>
            <w:tcW w:w="921" w:type="dxa"/>
          </w:tcPr>
          <w:p w14:paraId="2AD034B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4</w:t>
            </w:r>
          </w:p>
        </w:tc>
        <w:tc>
          <w:tcPr>
            <w:tcW w:w="7646" w:type="dxa"/>
          </w:tcPr>
          <w:p w14:paraId="10837EB1">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通过对受评主体是否制定了项目管理制度，评估受评主体的项目管理能力。</w:t>
            </w:r>
          </w:p>
        </w:tc>
      </w:tr>
      <w:tr w14:paraId="7F50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14" w:type="dxa"/>
            <w:vMerge w:val="continue"/>
          </w:tcPr>
          <w:p w14:paraId="6D0F61E9">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022C2AD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1422" w:type="dxa"/>
            <w:vMerge w:val="continue"/>
          </w:tcPr>
          <w:p w14:paraId="73747C67">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56D576C0">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质量安全管理制度</w:t>
            </w:r>
          </w:p>
        </w:tc>
        <w:tc>
          <w:tcPr>
            <w:tcW w:w="921" w:type="dxa"/>
          </w:tcPr>
          <w:p w14:paraId="563993E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4</w:t>
            </w:r>
          </w:p>
        </w:tc>
        <w:tc>
          <w:tcPr>
            <w:tcW w:w="7646" w:type="dxa"/>
          </w:tcPr>
          <w:p w14:paraId="74F4CC60">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通过对受评主体是否制定了质量安全管理制度，评估受评主体的质量安全控制能力。</w:t>
            </w:r>
          </w:p>
        </w:tc>
      </w:tr>
      <w:tr w14:paraId="7517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14" w:type="dxa"/>
            <w:vMerge w:val="continue"/>
          </w:tcPr>
          <w:p w14:paraId="2F684B8E">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4F27631F">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1422" w:type="dxa"/>
            <w:vMerge w:val="continue"/>
          </w:tcPr>
          <w:p w14:paraId="3512829D">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22299F86">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采购、招投标管理制度</w:t>
            </w:r>
          </w:p>
        </w:tc>
        <w:tc>
          <w:tcPr>
            <w:tcW w:w="921" w:type="dxa"/>
          </w:tcPr>
          <w:p w14:paraId="31D98D0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3</w:t>
            </w:r>
          </w:p>
        </w:tc>
        <w:tc>
          <w:tcPr>
            <w:tcW w:w="7646" w:type="dxa"/>
          </w:tcPr>
          <w:p w14:paraId="48E7ECC0">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通过对受评主体是否制定了采购、招投标管理制度，评估受评主体采购、招投标管理的能力。</w:t>
            </w:r>
          </w:p>
        </w:tc>
      </w:tr>
      <w:tr w14:paraId="2CEA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4" w:type="dxa"/>
            <w:vMerge w:val="continue"/>
          </w:tcPr>
          <w:p w14:paraId="3FFF36F0">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3CEB7C3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1422" w:type="dxa"/>
            <w:vMerge w:val="continue"/>
          </w:tcPr>
          <w:p w14:paraId="31091A74">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4548B120">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预决算制度</w:t>
            </w:r>
          </w:p>
        </w:tc>
        <w:tc>
          <w:tcPr>
            <w:tcW w:w="921" w:type="dxa"/>
          </w:tcPr>
          <w:p w14:paraId="10C0026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1.5</w:t>
            </w:r>
          </w:p>
        </w:tc>
        <w:tc>
          <w:tcPr>
            <w:tcW w:w="7646" w:type="dxa"/>
          </w:tcPr>
          <w:p w14:paraId="3129D55B">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通过对受评主体是否制定了预决算制度，评估受评主体的资金管理能力。</w:t>
            </w:r>
          </w:p>
        </w:tc>
      </w:tr>
      <w:tr w14:paraId="365B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14" w:type="dxa"/>
            <w:vMerge w:val="continue"/>
          </w:tcPr>
          <w:p w14:paraId="4122BD8B">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6CCE5CB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1422" w:type="dxa"/>
            <w:vMerge w:val="continue"/>
          </w:tcPr>
          <w:p w14:paraId="43C8469A">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754965AC">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人事管理制度</w:t>
            </w:r>
          </w:p>
        </w:tc>
        <w:tc>
          <w:tcPr>
            <w:tcW w:w="921" w:type="dxa"/>
          </w:tcPr>
          <w:p w14:paraId="1BCE6E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1,5</w:t>
            </w:r>
          </w:p>
        </w:tc>
        <w:tc>
          <w:tcPr>
            <w:tcW w:w="7646" w:type="dxa"/>
          </w:tcPr>
          <w:p w14:paraId="59769C68">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通过对受评主体是否制定了人事管理制度，评估受评主体的人力资源管理能力。</w:t>
            </w:r>
          </w:p>
        </w:tc>
      </w:tr>
      <w:tr w14:paraId="4987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14" w:type="dxa"/>
            <w:vMerge w:val="continue"/>
          </w:tcPr>
          <w:p w14:paraId="379B66AC">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restart"/>
          </w:tcPr>
          <w:p w14:paraId="3361DAF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7F18CBD8">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5FBEAD0C">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2</w:t>
            </w:r>
          </w:p>
        </w:tc>
        <w:tc>
          <w:tcPr>
            <w:tcW w:w="1422" w:type="dxa"/>
            <w:vMerge w:val="restart"/>
          </w:tcPr>
          <w:p w14:paraId="45FE04DA">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p w14:paraId="0ADCE464">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p w14:paraId="4437E724">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制度执行</w:t>
            </w:r>
          </w:p>
          <w:p w14:paraId="31019A06">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lang w:eastAsia="zh-CN"/>
              </w:rPr>
            </w:pPr>
            <w:r>
              <w:rPr>
                <w:rFonts w:hint="eastAsia" w:ascii="仿宋" w:hAnsi="仿宋" w:eastAsia="仿宋"/>
                <w:sz w:val="24"/>
                <w:szCs w:val="24"/>
              </w:rPr>
              <w:t>（</w:t>
            </w:r>
            <w:r>
              <w:rPr>
                <w:rFonts w:hint="eastAsia" w:ascii="仿宋" w:hAnsi="仿宋" w:eastAsia="仿宋"/>
                <w:sz w:val="24"/>
                <w:szCs w:val="24"/>
                <w:lang w:val="en-US" w:eastAsia="zh-CN"/>
              </w:rPr>
              <w:t>8</w:t>
            </w:r>
            <w:r>
              <w:rPr>
                <w:rFonts w:hint="eastAsia" w:ascii="仿宋" w:hAnsi="仿宋" w:eastAsia="仿宋"/>
                <w:sz w:val="24"/>
                <w:szCs w:val="24"/>
              </w:rPr>
              <w:t>分</w:t>
            </w:r>
            <w:r>
              <w:rPr>
                <w:rFonts w:hint="eastAsia" w:ascii="仿宋" w:hAnsi="仿宋" w:eastAsia="仿宋"/>
                <w:sz w:val="24"/>
                <w:szCs w:val="24"/>
                <w:lang w:eastAsia="zh-CN"/>
              </w:rPr>
              <w:t>）</w:t>
            </w:r>
          </w:p>
        </w:tc>
        <w:tc>
          <w:tcPr>
            <w:tcW w:w="2551" w:type="dxa"/>
          </w:tcPr>
          <w:p w14:paraId="257EAAE7">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质量管理体系认证</w:t>
            </w:r>
          </w:p>
        </w:tc>
        <w:tc>
          <w:tcPr>
            <w:tcW w:w="921" w:type="dxa"/>
          </w:tcPr>
          <w:p w14:paraId="076F27C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2</w:t>
            </w:r>
          </w:p>
        </w:tc>
        <w:tc>
          <w:tcPr>
            <w:tcW w:w="7646" w:type="dxa"/>
          </w:tcPr>
          <w:p w14:paraId="4E55B830">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通过考核受评主体是否通过质量管理认证体系，评估受评主体的质量管理水平。</w:t>
            </w:r>
          </w:p>
        </w:tc>
      </w:tr>
      <w:tr w14:paraId="3BE4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514" w:type="dxa"/>
            <w:vMerge w:val="continue"/>
          </w:tcPr>
          <w:p w14:paraId="7220B927">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6C6BF012">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1422" w:type="dxa"/>
            <w:vMerge w:val="continue"/>
          </w:tcPr>
          <w:p w14:paraId="03E5D9C1">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23DF744B">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环境管理体系认证</w:t>
            </w:r>
          </w:p>
        </w:tc>
        <w:tc>
          <w:tcPr>
            <w:tcW w:w="921" w:type="dxa"/>
          </w:tcPr>
          <w:p w14:paraId="4E7D170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1</w:t>
            </w:r>
          </w:p>
        </w:tc>
        <w:tc>
          <w:tcPr>
            <w:tcW w:w="7646" w:type="dxa"/>
          </w:tcPr>
          <w:p w14:paraId="2FE9EADF">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通过考核受评主体是否通过环境管理认证体系评估受评主体环境管理水平。</w:t>
            </w:r>
          </w:p>
        </w:tc>
      </w:tr>
      <w:tr w14:paraId="2669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14" w:type="dxa"/>
            <w:vMerge w:val="continue"/>
          </w:tcPr>
          <w:p w14:paraId="124A7772">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4DD51C77">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1422" w:type="dxa"/>
            <w:vMerge w:val="continue"/>
          </w:tcPr>
          <w:p w14:paraId="03B1E916">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5B479B0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职业健康安全管理体系认证</w:t>
            </w:r>
          </w:p>
        </w:tc>
        <w:tc>
          <w:tcPr>
            <w:tcW w:w="921" w:type="dxa"/>
          </w:tcPr>
          <w:p w14:paraId="6513318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1</w:t>
            </w:r>
          </w:p>
        </w:tc>
        <w:tc>
          <w:tcPr>
            <w:tcW w:w="7646" w:type="dxa"/>
          </w:tcPr>
          <w:p w14:paraId="2C6128DF">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通过考核受评主体是否通过职业健康安全管理认证体系评估受评主体的安全管理水平。</w:t>
            </w:r>
          </w:p>
        </w:tc>
      </w:tr>
      <w:tr w14:paraId="5140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14" w:type="dxa"/>
            <w:vMerge w:val="continue"/>
          </w:tcPr>
          <w:p w14:paraId="57FB84F1">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6727F91A">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1422" w:type="dxa"/>
            <w:vMerge w:val="continue"/>
          </w:tcPr>
          <w:p w14:paraId="038C3556">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34E6E462">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3年内工程获奖次数</w:t>
            </w:r>
          </w:p>
        </w:tc>
        <w:tc>
          <w:tcPr>
            <w:tcW w:w="921" w:type="dxa"/>
          </w:tcPr>
          <w:p w14:paraId="18D449A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2</w:t>
            </w:r>
          </w:p>
        </w:tc>
        <w:tc>
          <w:tcPr>
            <w:tcW w:w="7646" w:type="dxa"/>
          </w:tcPr>
          <w:p w14:paraId="231AABDE">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通过外部评价考核受评主体近三年工程获奖情况（国家、省级）。</w:t>
            </w:r>
          </w:p>
        </w:tc>
      </w:tr>
      <w:tr w14:paraId="613D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14" w:type="dxa"/>
            <w:vMerge w:val="continue"/>
          </w:tcPr>
          <w:p w14:paraId="079D7DC2">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3FEE2836">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1422" w:type="dxa"/>
            <w:vMerge w:val="continue"/>
          </w:tcPr>
          <w:p w14:paraId="2E8963F4">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67CC544A">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工程投诉</w:t>
            </w:r>
          </w:p>
        </w:tc>
        <w:tc>
          <w:tcPr>
            <w:tcW w:w="921" w:type="dxa"/>
          </w:tcPr>
          <w:p w14:paraId="24CA941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2</w:t>
            </w:r>
          </w:p>
        </w:tc>
        <w:tc>
          <w:tcPr>
            <w:tcW w:w="7646" w:type="dxa"/>
          </w:tcPr>
          <w:p w14:paraId="0AA118B2">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通过近三年外部评价考核受评主体工程质量情况（投诉标准为各级司法或行政执法部门出具的投诉处理决定书）。</w:t>
            </w:r>
          </w:p>
        </w:tc>
      </w:tr>
      <w:tr w14:paraId="40A6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14" w:type="dxa"/>
            <w:vMerge w:val="continue"/>
          </w:tcPr>
          <w:p w14:paraId="4F902E82">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69551614">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1422" w:type="dxa"/>
            <w:vMerge w:val="continue"/>
          </w:tcPr>
          <w:p w14:paraId="003CE9D7">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2551" w:type="dxa"/>
          </w:tcPr>
          <w:p w14:paraId="3BE39826">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安全事故</w:t>
            </w:r>
          </w:p>
        </w:tc>
        <w:tc>
          <w:tcPr>
            <w:tcW w:w="921" w:type="dxa"/>
          </w:tcPr>
          <w:p w14:paraId="2550C8B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2</w:t>
            </w:r>
          </w:p>
        </w:tc>
        <w:tc>
          <w:tcPr>
            <w:tcW w:w="7646" w:type="dxa"/>
          </w:tcPr>
          <w:p w14:paraId="2731E835">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通过对受评主体近三年是否发生过安全事故以及事故的损失程度的考核，评估受评主体是否严格执行了安全管理制度。</w:t>
            </w:r>
          </w:p>
        </w:tc>
      </w:tr>
      <w:tr w14:paraId="18C5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14" w:type="dxa"/>
            <w:vMerge w:val="continue"/>
          </w:tcPr>
          <w:p w14:paraId="6BE61CA7">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restart"/>
          </w:tcPr>
          <w:p w14:paraId="271AA666">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仿宋" w:hAnsi="仿宋" w:eastAsia="仿宋"/>
                <w:sz w:val="24"/>
                <w:szCs w:val="24"/>
              </w:rPr>
            </w:pPr>
          </w:p>
          <w:p w14:paraId="56095598">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1781929B">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43689DE2">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75E628C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3</w:t>
            </w:r>
          </w:p>
        </w:tc>
        <w:tc>
          <w:tcPr>
            <w:tcW w:w="1422" w:type="dxa"/>
            <w:vMerge w:val="restart"/>
          </w:tcPr>
          <w:p w14:paraId="5AE27EE4">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ascii="仿宋" w:hAnsi="仿宋" w:eastAsia="仿宋"/>
                <w:sz w:val="24"/>
                <w:szCs w:val="24"/>
              </w:rPr>
            </w:pPr>
          </w:p>
          <w:p w14:paraId="49786B9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10B5C7D0">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587BCC8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创新</w:t>
            </w:r>
          </w:p>
          <w:p w14:paraId="63DAD796">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能力</w:t>
            </w:r>
          </w:p>
          <w:p w14:paraId="19B65825">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6</w:t>
            </w:r>
            <w:r>
              <w:rPr>
                <w:rFonts w:hint="eastAsia" w:ascii="仿宋" w:hAnsi="仿宋" w:eastAsia="仿宋"/>
                <w:sz w:val="24"/>
                <w:szCs w:val="24"/>
              </w:rPr>
              <w:t>分）</w:t>
            </w:r>
          </w:p>
        </w:tc>
        <w:tc>
          <w:tcPr>
            <w:tcW w:w="2551" w:type="dxa"/>
          </w:tcPr>
          <w:p w14:paraId="036049CE">
            <w:pPr>
              <w:keepNext w:val="0"/>
              <w:keepLines w:val="0"/>
              <w:pageBreakBefore w:val="0"/>
              <w:widowControl w:val="0"/>
              <w:kinsoku/>
              <w:wordWrap/>
              <w:overflowPunct/>
              <w:topLinePunct w:val="0"/>
              <w:autoSpaceDE/>
              <w:autoSpaceDN/>
              <w:bidi w:val="0"/>
              <w:adjustRightInd/>
              <w:snapToGrid/>
              <w:spacing w:after="0" w:line="600" w:lineRule="auto"/>
              <w:jc w:val="center"/>
              <w:textAlignment w:val="auto"/>
              <w:rPr>
                <w:rFonts w:hint="eastAsia" w:ascii="仿宋" w:hAnsi="仿宋" w:eastAsia="仿宋"/>
                <w:sz w:val="24"/>
                <w:szCs w:val="24"/>
              </w:rPr>
            </w:pPr>
            <w:r>
              <w:rPr>
                <w:rFonts w:hint="eastAsia" w:ascii="仿宋" w:hAnsi="仿宋" w:eastAsia="仿宋"/>
                <w:sz w:val="24"/>
                <w:szCs w:val="24"/>
              </w:rPr>
              <w:t>信息化</w:t>
            </w:r>
          </w:p>
        </w:tc>
        <w:tc>
          <w:tcPr>
            <w:tcW w:w="921" w:type="dxa"/>
          </w:tcPr>
          <w:p w14:paraId="1FFC0675">
            <w:pPr>
              <w:keepNext w:val="0"/>
              <w:keepLines w:val="0"/>
              <w:pageBreakBefore w:val="0"/>
              <w:widowControl w:val="0"/>
              <w:kinsoku/>
              <w:wordWrap/>
              <w:overflowPunct/>
              <w:topLinePunct w:val="0"/>
              <w:autoSpaceDE/>
              <w:autoSpaceDN/>
              <w:bidi w:val="0"/>
              <w:adjustRightInd/>
              <w:snapToGrid/>
              <w:spacing w:after="0" w:line="600" w:lineRule="auto"/>
              <w:jc w:val="center"/>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7646" w:type="dxa"/>
          </w:tcPr>
          <w:p w14:paraId="229066D6">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通过考核受评主体是否建立企业官网、办公管理自动化系统及项目管理系统（如企业OA办公系统、电子化办公平台、信息处理系统等），评估受评主体的信息化水平。</w:t>
            </w:r>
          </w:p>
        </w:tc>
      </w:tr>
      <w:tr w14:paraId="459D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4" w:type="dxa"/>
            <w:vMerge w:val="continue"/>
          </w:tcPr>
          <w:p w14:paraId="149A2ED0">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7A02A05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1422" w:type="dxa"/>
            <w:vMerge w:val="continue"/>
          </w:tcPr>
          <w:p w14:paraId="51CE7EC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2551" w:type="dxa"/>
          </w:tcPr>
          <w:p w14:paraId="79E2694A">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专利、工法、行业标准</w:t>
            </w:r>
          </w:p>
        </w:tc>
        <w:tc>
          <w:tcPr>
            <w:tcW w:w="921" w:type="dxa"/>
          </w:tcPr>
          <w:p w14:paraId="7DEE234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7646" w:type="dxa"/>
          </w:tcPr>
          <w:p w14:paraId="33CC7479">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通过对受评主体近三年获取专利、标准、工法数量的统计，评估受评主体的创新能力。</w:t>
            </w:r>
          </w:p>
        </w:tc>
      </w:tr>
      <w:tr w14:paraId="05D5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514" w:type="dxa"/>
            <w:vMerge w:val="continue"/>
          </w:tcPr>
          <w:p w14:paraId="6D3F16E1">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285DA7EE">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1422" w:type="dxa"/>
            <w:vMerge w:val="continue"/>
          </w:tcPr>
          <w:p w14:paraId="2C002868">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2551" w:type="dxa"/>
          </w:tcPr>
          <w:p w14:paraId="1D1AFA8C">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技术研发人员比例</w:t>
            </w:r>
          </w:p>
        </w:tc>
        <w:tc>
          <w:tcPr>
            <w:tcW w:w="921" w:type="dxa"/>
          </w:tcPr>
          <w:p w14:paraId="2F0A7B6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1</w:t>
            </w:r>
          </w:p>
        </w:tc>
        <w:tc>
          <w:tcPr>
            <w:tcW w:w="7646" w:type="dxa"/>
          </w:tcPr>
          <w:p w14:paraId="402C7D73">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通过对受评主体专业技术人员占全部员工比例的统计，评估受评主体的创新潜质。</w:t>
            </w:r>
          </w:p>
        </w:tc>
      </w:tr>
      <w:tr w14:paraId="6A17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514" w:type="dxa"/>
            <w:vMerge w:val="continue"/>
          </w:tcPr>
          <w:p w14:paraId="495A5DDA">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2ACF4A2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1422" w:type="dxa"/>
            <w:vMerge w:val="continue"/>
          </w:tcPr>
          <w:p w14:paraId="6D5D7790">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2551" w:type="dxa"/>
          </w:tcPr>
          <w:p w14:paraId="35C0B9A3">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研发投入</w:t>
            </w:r>
          </w:p>
        </w:tc>
        <w:tc>
          <w:tcPr>
            <w:tcW w:w="921" w:type="dxa"/>
          </w:tcPr>
          <w:p w14:paraId="3D9E727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1</w:t>
            </w:r>
          </w:p>
        </w:tc>
        <w:tc>
          <w:tcPr>
            <w:tcW w:w="7646" w:type="dxa"/>
          </w:tcPr>
          <w:p w14:paraId="029A0751">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通过对受评主体最近一年度研发投入占总可支配收入的比例的统计，评估受评主体对创新的重视程度及支持力度。</w:t>
            </w:r>
          </w:p>
        </w:tc>
      </w:tr>
      <w:tr w14:paraId="1AB4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14" w:type="dxa"/>
            <w:vMerge w:val="continue"/>
          </w:tcPr>
          <w:p w14:paraId="45651EBE">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restart"/>
          </w:tcPr>
          <w:p w14:paraId="2753A24B">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53593C62">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4</w:t>
            </w:r>
          </w:p>
        </w:tc>
        <w:tc>
          <w:tcPr>
            <w:tcW w:w="1422" w:type="dxa"/>
            <w:vMerge w:val="restart"/>
          </w:tcPr>
          <w:p w14:paraId="2C5261B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37EECC4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在鄂经营</w:t>
            </w:r>
          </w:p>
          <w:p w14:paraId="216E61E2">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（4分）</w:t>
            </w:r>
          </w:p>
        </w:tc>
        <w:tc>
          <w:tcPr>
            <w:tcW w:w="2551" w:type="dxa"/>
          </w:tcPr>
          <w:p w14:paraId="22ADCC4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企业经营年限</w:t>
            </w:r>
          </w:p>
        </w:tc>
        <w:tc>
          <w:tcPr>
            <w:tcW w:w="921" w:type="dxa"/>
          </w:tcPr>
          <w:p w14:paraId="0081B97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1</w:t>
            </w:r>
          </w:p>
        </w:tc>
        <w:tc>
          <w:tcPr>
            <w:tcW w:w="7646" w:type="dxa"/>
          </w:tcPr>
          <w:p w14:paraId="0BB43078">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企业在鄂经营年限15年及以上（以营业执照上注册时间地点为准）。</w:t>
            </w:r>
          </w:p>
        </w:tc>
      </w:tr>
      <w:tr w14:paraId="2D63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514" w:type="dxa"/>
            <w:vMerge w:val="continue"/>
          </w:tcPr>
          <w:p w14:paraId="50E8CDFF">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0E3384AF">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1422" w:type="dxa"/>
            <w:vMerge w:val="continue"/>
          </w:tcPr>
          <w:p w14:paraId="6975E744">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tc>
        <w:tc>
          <w:tcPr>
            <w:tcW w:w="2551" w:type="dxa"/>
          </w:tcPr>
          <w:p w14:paraId="6B3616A8">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积极性</w:t>
            </w:r>
          </w:p>
        </w:tc>
        <w:tc>
          <w:tcPr>
            <w:tcW w:w="921" w:type="dxa"/>
          </w:tcPr>
          <w:p w14:paraId="15102E0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3</w:t>
            </w:r>
          </w:p>
        </w:tc>
        <w:tc>
          <w:tcPr>
            <w:tcW w:w="7646" w:type="dxa"/>
          </w:tcPr>
          <w:p w14:paraId="28C1C9AF">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r>
              <w:rPr>
                <w:rFonts w:hint="eastAsia" w:ascii="仿宋" w:hAnsi="仿宋" w:eastAsia="仿宋"/>
                <w:sz w:val="24"/>
                <w:szCs w:val="24"/>
              </w:rPr>
              <w:t>企业缴纳湖北省建筑装饰协会会费连续3年及以上，且经常参加协会组织活动。</w:t>
            </w:r>
          </w:p>
        </w:tc>
      </w:tr>
      <w:tr w14:paraId="3A30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14" w:type="dxa"/>
            <w:vMerge w:val="restart"/>
          </w:tcPr>
          <w:p w14:paraId="4233F52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361782FB">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7D66A70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p>
          <w:p w14:paraId="56A9DBBF">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财务</w:t>
            </w:r>
          </w:p>
          <w:p w14:paraId="462997BC">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b/>
                <w:bCs/>
                <w:sz w:val="24"/>
                <w:szCs w:val="24"/>
              </w:rPr>
            </w:pPr>
            <w:r>
              <w:rPr>
                <w:rFonts w:hint="eastAsia" w:ascii="仿宋" w:hAnsi="仿宋" w:eastAsia="仿宋"/>
                <w:b/>
                <w:bCs/>
                <w:sz w:val="24"/>
                <w:szCs w:val="24"/>
              </w:rPr>
              <w:t>实力</w:t>
            </w:r>
          </w:p>
          <w:p w14:paraId="5D942A5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b/>
                <w:bCs/>
                <w:sz w:val="24"/>
                <w:szCs w:val="24"/>
              </w:rPr>
              <w:t>（16分）</w:t>
            </w:r>
          </w:p>
        </w:tc>
        <w:tc>
          <w:tcPr>
            <w:tcW w:w="739" w:type="dxa"/>
          </w:tcPr>
          <w:p w14:paraId="182924EC">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1</w:t>
            </w:r>
          </w:p>
        </w:tc>
        <w:tc>
          <w:tcPr>
            <w:tcW w:w="1422" w:type="dxa"/>
          </w:tcPr>
          <w:p w14:paraId="1EC9AFC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盈利能力</w:t>
            </w:r>
          </w:p>
          <w:p w14:paraId="7D7A38F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（3分）</w:t>
            </w:r>
          </w:p>
        </w:tc>
        <w:tc>
          <w:tcPr>
            <w:tcW w:w="2551" w:type="dxa"/>
          </w:tcPr>
          <w:p w14:paraId="54E93825">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净资产收益率</w:t>
            </w:r>
          </w:p>
        </w:tc>
        <w:tc>
          <w:tcPr>
            <w:tcW w:w="921" w:type="dxa"/>
          </w:tcPr>
          <w:p w14:paraId="121BD58F">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3</w:t>
            </w:r>
          </w:p>
        </w:tc>
        <w:tc>
          <w:tcPr>
            <w:tcW w:w="7646" w:type="dxa"/>
          </w:tcPr>
          <w:p w14:paraId="50DC9AED">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r>
      <w:tr w14:paraId="45D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14" w:type="dxa"/>
            <w:vMerge w:val="continue"/>
          </w:tcPr>
          <w:p w14:paraId="6AA715AB">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tcPr>
          <w:p w14:paraId="26F73C0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2</w:t>
            </w:r>
          </w:p>
        </w:tc>
        <w:tc>
          <w:tcPr>
            <w:tcW w:w="1422" w:type="dxa"/>
          </w:tcPr>
          <w:p w14:paraId="0E1D8964">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经营效率</w:t>
            </w:r>
          </w:p>
          <w:p w14:paraId="75C5C801">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（3分）</w:t>
            </w:r>
          </w:p>
        </w:tc>
        <w:tc>
          <w:tcPr>
            <w:tcW w:w="2551" w:type="dxa"/>
          </w:tcPr>
          <w:p w14:paraId="3F96BFCE">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企业总资产周转率</w:t>
            </w:r>
          </w:p>
        </w:tc>
        <w:tc>
          <w:tcPr>
            <w:tcW w:w="921" w:type="dxa"/>
          </w:tcPr>
          <w:p w14:paraId="15491BFA">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3</w:t>
            </w:r>
          </w:p>
        </w:tc>
        <w:tc>
          <w:tcPr>
            <w:tcW w:w="7646" w:type="dxa"/>
          </w:tcPr>
          <w:p w14:paraId="30C30D01">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r>
      <w:tr w14:paraId="0671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14" w:type="dxa"/>
            <w:vMerge w:val="continue"/>
          </w:tcPr>
          <w:p w14:paraId="2BD3EE12">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tcPr>
          <w:p w14:paraId="7C610260">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3</w:t>
            </w:r>
          </w:p>
        </w:tc>
        <w:tc>
          <w:tcPr>
            <w:tcW w:w="1422" w:type="dxa"/>
          </w:tcPr>
          <w:p w14:paraId="685D32F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稳定性</w:t>
            </w:r>
          </w:p>
          <w:p w14:paraId="30A514E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（3分）</w:t>
            </w:r>
          </w:p>
        </w:tc>
        <w:tc>
          <w:tcPr>
            <w:tcW w:w="2551" w:type="dxa"/>
          </w:tcPr>
          <w:p w14:paraId="4820082F">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资本保值增值率</w:t>
            </w:r>
          </w:p>
        </w:tc>
        <w:tc>
          <w:tcPr>
            <w:tcW w:w="921" w:type="dxa"/>
          </w:tcPr>
          <w:p w14:paraId="0FE6CF3D">
            <w:pPr>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仿宋" w:hAnsi="仿宋" w:eastAsia="仿宋"/>
                <w:sz w:val="24"/>
                <w:szCs w:val="24"/>
              </w:rPr>
            </w:pPr>
            <w:r>
              <w:rPr>
                <w:rFonts w:hint="eastAsia" w:ascii="仿宋" w:hAnsi="仿宋" w:eastAsia="仿宋"/>
                <w:sz w:val="24"/>
                <w:szCs w:val="24"/>
              </w:rPr>
              <w:t>3</w:t>
            </w:r>
          </w:p>
        </w:tc>
        <w:tc>
          <w:tcPr>
            <w:tcW w:w="7646" w:type="dxa"/>
          </w:tcPr>
          <w:p w14:paraId="24A91AAC">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r>
      <w:tr w14:paraId="1483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14" w:type="dxa"/>
            <w:vMerge w:val="continue"/>
          </w:tcPr>
          <w:p w14:paraId="275027DD">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restart"/>
          </w:tcPr>
          <w:p w14:paraId="084332BD">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491601B5">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4</w:t>
            </w:r>
          </w:p>
        </w:tc>
        <w:tc>
          <w:tcPr>
            <w:tcW w:w="1422" w:type="dxa"/>
            <w:vMerge w:val="restart"/>
          </w:tcPr>
          <w:p w14:paraId="3DEEE153">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p>
          <w:p w14:paraId="57BFDEFA">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信用风险</w:t>
            </w:r>
          </w:p>
          <w:p w14:paraId="6C4C4DF9">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sz w:val="24"/>
                <w:szCs w:val="24"/>
              </w:rPr>
            </w:pPr>
            <w:r>
              <w:rPr>
                <w:rFonts w:hint="eastAsia" w:ascii="仿宋" w:hAnsi="仿宋" w:eastAsia="仿宋"/>
                <w:sz w:val="24"/>
                <w:szCs w:val="24"/>
              </w:rPr>
              <w:t>（7分）</w:t>
            </w:r>
          </w:p>
        </w:tc>
        <w:tc>
          <w:tcPr>
            <w:tcW w:w="2551" w:type="dxa"/>
          </w:tcPr>
          <w:p w14:paraId="465845C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资产负债率</w:t>
            </w:r>
          </w:p>
        </w:tc>
        <w:tc>
          <w:tcPr>
            <w:tcW w:w="921" w:type="dxa"/>
          </w:tcPr>
          <w:p w14:paraId="437930D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4</w:t>
            </w:r>
          </w:p>
        </w:tc>
        <w:tc>
          <w:tcPr>
            <w:tcW w:w="7646" w:type="dxa"/>
          </w:tcPr>
          <w:p w14:paraId="1B548520">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r>
      <w:tr w14:paraId="4808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14" w:type="dxa"/>
            <w:vMerge w:val="continue"/>
          </w:tcPr>
          <w:p w14:paraId="1DEF374E">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739" w:type="dxa"/>
            <w:vMerge w:val="continue"/>
          </w:tcPr>
          <w:p w14:paraId="7D297044">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c>
          <w:tcPr>
            <w:tcW w:w="1422" w:type="dxa"/>
            <w:vMerge w:val="continue"/>
          </w:tcPr>
          <w:p w14:paraId="39C4E51A">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sz w:val="24"/>
                <w:szCs w:val="24"/>
              </w:rPr>
            </w:pPr>
          </w:p>
        </w:tc>
        <w:tc>
          <w:tcPr>
            <w:tcW w:w="2551" w:type="dxa"/>
          </w:tcPr>
          <w:p w14:paraId="5195EEC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流动比率</w:t>
            </w:r>
          </w:p>
        </w:tc>
        <w:tc>
          <w:tcPr>
            <w:tcW w:w="921" w:type="dxa"/>
          </w:tcPr>
          <w:p w14:paraId="7FF674C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sz w:val="24"/>
                <w:szCs w:val="24"/>
              </w:rPr>
            </w:pPr>
            <w:r>
              <w:rPr>
                <w:rFonts w:hint="eastAsia" w:ascii="仿宋" w:hAnsi="仿宋" w:eastAsia="仿宋"/>
                <w:sz w:val="24"/>
                <w:szCs w:val="24"/>
              </w:rPr>
              <w:t>3</w:t>
            </w:r>
          </w:p>
        </w:tc>
        <w:tc>
          <w:tcPr>
            <w:tcW w:w="7646" w:type="dxa"/>
          </w:tcPr>
          <w:p w14:paraId="2CEAD561">
            <w:pPr>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仿宋" w:hAnsi="仿宋" w:eastAsia="仿宋"/>
                <w:sz w:val="24"/>
                <w:szCs w:val="24"/>
              </w:rPr>
            </w:pPr>
          </w:p>
        </w:tc>
      </w:tr>
    </w:tbl>
    <w:p w14:paraId="2CD16B80">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仿宋_GB2312"/>
          <w:sz w:val="32"/>
          <w:szCs w:val="32"/>
        </w:rPr>
        <w:sectPr>
          <w:pgSz w:w="16838" w:h="11906" w:orient="landscape"/>
          <w:pgMar w:top="1531" w:right="1440" w:bottom="1531" w:left="1440" w:header="851" w:footer="992" w:gutter="0"/>
          <w:pgNumType w:fmt="decimal"/>
          <w:cols w:space="425" w:num="1"/>
          <w:docGrid w:type="lines" w:linePitch="312" w:charSpace="0"/>
        </w:sectPr>
      </w:pPr>
    </w:p>
    <w:p w14:paraId="0D973D0E">
      <w:pPr>
        <w:jc w:val="center"/>
        <w:rPr>
          <w:rFonts w:hint="default" w:ascii="方正大标宋简体" w:hAnsi="方正大标宋简体" w:eastAsia="方正大标宋简体" w:cs="方正大标宋简体"/>
          <w:b/>
          <w:bCs/>
          <w:sz w:val="36"/>
          <w:szCs w:val="36"/>
          <w:lang w:val="en-US" w:eastAsia="zh-CN"/>
        </w:rPr>
      </w:pPr>
      <w:r>
        <w:rPr>
          <w:rFonts w:hint="eastAsia" w:ascii="方正大标宋简体" w:hAnsi="方正大标宋简体" w:eastAsia="方正大标宋简体" w:cs="方正大标宋简体"/>
          <w:b/>
          <w:bCs/>
          <w:sz w:val="36"/>
          <w:szCs w:val="36"/>
          <w:lang w:val="en-US" w:eastAsia="zh-CN"/>
        </w:rPr>
        <w:t>优良行为评价标准</w:t>
      </w:r>
    </w:p>
    <w:tbl>
      <w:tblPr>
        <w:tblStyle w:val="8"/>
        <w:tblW w:w="91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417"/>
        <w:gridCol w:w="525"/>
        <w:gridCol w:w="3421"/>
        <w:gridCol w:w="4382"/>
      </w:tblGrid>
      <w:tr w14:paraId="3C84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834" w:type="dxa"/>
            <w:gridSpan w:val="2"/>
            <w:tcBorders>
              <w:top w:val="single" w:color="000000" w:sz="8" w:space="0"/>
              <w:left w:val="single" w:color="000000" w:sz="8" w:space="0"/>
              <w:bottom w:val="single" w:color="auto" w:sz="4" w:space="0"/>
              <w:right w:val="single" w:color="auto" w:sz="4" w:space="0"/>
            </w:tcBorders>
            <w:shd w:val="clear" w:color="auto" w:fill="EEECE1"/>
            <w:vAlign w:val="center"/>
          </w:tcPr>
          <w:p w14:paraId="5188D0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525" w:type="dxa"/>
            <w:tcBorders>
              <w:top w:val="single" w:color="auto" w:sz="4" w:space="0"/>
              <w:left w:val="single" w:color="auto" w:sz="4" w:space="0"/>
              <w:bottom w:val="single" w:color="auto" w:sz="4" w:space="0"/>
              <w:right w:val="nil"/>
            </w:tcBorders>
            <w:shd w:val="clear" w:color="auto" w:fill="EEECE1"/>
            <w:vAlign w:val="center"/>
          </w:tcPr>
          <w:p w14:paraId="4CA46B2E">
            <w:pPr>
              <w:jc w:val="left"/>
              <w:rPr>
                <w:rFonts w:hint="eastAsia" w:ascii="宋体" w:hAnsi="宋体" w:eastAsia="宋体" w:cs="宋体"/>
                <w:b/>
                <w:bCs/>
                <w:i w:val="0"/>
                <w:iCs w:val="0"/>
                <w:color w:val="000000"/>
                <w:sz w:val="24"/>
                <w:szCs w:val="24"/>
                <w:u w:val="none"/>
              </w:rPr>
            </w:pPr>
          </w:p>
        </w:tc>
        <w:tc>
          <w:tcPr>
            <w:tcW w:w="3421" w:type="dxa"/>
            <w:tcBorders>
              <w:top w:val="single" w:color="auto" w:sz="4" w:space="0"/>
              <w:left w:val="nil"/>
              <w:bottom w:val="single" w:color="auto" w:sz="4" w:space="0"/>
              <w:right w:val="single" w:color="auto" w:sz="4" w:space="0"/>
            </w:tcBorders>
            <w:shd w:val="clear" w:color="auto" w:fill="EEECE1"/>
            <w:vAlign w:val="center"/>
          </w:tcPr>
          <w:p w14:paraId="63287E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行为描述</w:t>
            </w:r>
          </w:p>
        </w:tc>
        <w:tc>
          <w:tcPr>
            <w:tcW w:w="4382" w:type="dxa"/>
            <w:tcBorders>
              <w:top w:val="single" w:color="000000" w:sz="8" w:space="0"/>
              <w:left w:val="single" w:color="auto" w:sz="4" w:space="0"/>
              <w:bottom w:val="single" w:color="000000" w:sz="8" w:space="0"/>
              <w:right w:val="single" w:color="000000" w:sz="8" w:space="0"/>
            </w:tcBorders>
            <w:shd w:val="clear" w:color="auto" w:fill="EEECE1"/>
            <w:vAlign w:val="center"/>
          </w:tcPr>
          <w:p w14:paraId="43C19F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r>
      <w:tr w14:paraId="2949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417" w:type="dxa"/>
            <w:vMerge w:val="restart"/>
            <w:tcBorders>
              <w:top w:val="single" w:color="auto" w:sz="4" w:space="0"/>
              <w:left w:val="single" w:color="auto" w:sz="4" w:space="0"/>
              <w:bottom w:val="nil"/>
              <w:right w:val="single" w:color="000000" w:sz="8" w:space="0"/>
            </w:tcBorders>
            <w:shd w:val="clear" w:color="auto" w:fill="FFFFFF"/>
            <w:vAlign w:val="center"/>
          </w:tcPr>
          <w:p w14:paraId="7F284E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优良行为</w:t>
            </w:r>
          </w:p>
        </w:tc>
        <w:tc>
          <w:tcPr>
            <w:tcW w:w="417" w:type="dxa"/>
            <w:vMerge w:val="restart"/>
            <w:tcBorders>
              <w:top w:val="single" w:color="auto" w:sz="4" w:space="0"/>
              <w:left w:val="single" w:color="000000" w:sz="8" w:space="0"/>
              <w:bottom w:val="nil"/>
              <w:right w:val="single" w:color="auto" w:sz="4" w:space="0"/>
            </w:tcBorders>
            <w:shd w:val="clear" w:color="auto" w:fill="FFFFFF"/>
            <w:vAlign w:val="center"/>
          </w:tcPr>
          <w:p w14:paraId="71F1CD0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优良信息</w:t>
            </w:r>
          </w:p>
        </w:tc>
        <w:tc>
          <w:tcPr>
            <w:tcW w:w="525" w:type="dxa"/>
            <w:tcBorders>
              <w:top w:val="single" w:color="auto" w:sz="4" w:space="0"/>
              <w:left w:val="single" w:color="auto" w:sz="4" w:space="0"/>
              <w:bottom w:val="single" w:color="000000" w:sz="8" w:space="0"/>
              <w:right w:val="single" w:color="000000" w:sz="8" w:space="0"/>
            </w:tcBorders>
            <w:shd w:val="clear" w:color="auto" w:fill="FFFFFF"/>
            <w:vAlign w:val="center"/>
          </w:tcPr>
          <w:p w14:paraId="0D845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421" w:type="dxa"/>
            <w:tcBorders>
              <w:top w:val="single" w:color="auto" w:sz="4" w:space="0"/>
              <w:left w:val="nil"/>
              <w:bottom w:val="single" w:color="000000" w:sz="8" w:space="0"/>
              <w:right w:val="nil"/>
            </w:tcBorders>
            <w:shd w:val="clear" w:color="auto" w:fill="FFFFFF"/>
            <w:vAlign w:val="center"/>
          </w:tcPr>
          <w:p w14:paraId="171268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政府表彰</w:t>
            </w:r>
          </w:p>
        </w:tc>
        <w:tc>
          <w:tcPr>
            <w:tcW w:w="4382" w:type="dxa"/>
            <w:tcBorders>
              <w:top w:val="nil"/>
              <w:left w:val="single" w:color="000000" w:sz="8" w:space="0"/>
              <w:bottom w:val="single" w:color="000000" w:sz="8" w:space="0"/>
              <w:right w:val="single" w:color="000000" w:sz="8" w:space="0"/>
            </w:tcBorders>
            <w:shd w:val="clear" w:color="auto" w:fill="FFFFFF"/>
            <w:vAlign w:val="center"/>
          </w:tcPr>
          <w:p w14:paraId="729B1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国家级、省级、市级及以下分别为15分、10分、5分/项</w:t>
            </w:r>
          </w:p>
        </w:tc>
      </w:tr>
      <w:tr w14:paraId="1E3E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23995C14">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00218B49">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7A261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421" w:type="dxa"/>
            <w:tcBorders>
              <w:top w:val="nil"/>
              <w:left w:val="nil"/>
              <w:bottom w:val="single" w:color="000000" w:sz="8" w:space="0"/>
              <w:right w:val="nil"/>
            </w:tcBorders>
            <w:shd w:val="clear" w:color="auto" w:fill="FFFFFF"/>
            <w:vAlign w:val="center"/>
          </w:tcPr>
          <w:p w14:paraId="72EF86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建设行业协会表彰</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A563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国家级、省级、市级分别为8分、6分、3分/项</w:t>
            </w:r>
          </w:p>
        </w:tc>
      </w:tr>
      <w:tr w14:paraId="0A8C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7B8352F5">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65D0603E">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4090D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421" w:type="dxa"/>
            <w:tcBorders>
              <w:top w:val="nil"/>
              <w:left w:val="nil"/>
              <w:bottom w:val="single" w:color="000000" w:sz="8" w:space="0"/>
              <w:right w:val="nil"/>
            </w:tcBorders>
            <w:shd w:val="clear" w:color="auto" w:fill="FFFFFF"/>
            <w:vAlign w:val="center"/>
          </w:tcPr>
          <w:p w14:paraId="4A40FC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中国建设工程鲁班奖（参建奖）</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8459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12分/项</w:t>
            </w:r>
          </w:p>
        </w:tc>
      </w:tr>
      <w:tr w14:paraId="68C4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7E73037A">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1A97AA88">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6AA28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421" w:type="dxa"/>
            <w:tcBorders>
              <w:top w:val="nil"/>
              <w:left w:val="nil"/>
              <w:bottom w:val="single" w:color="000000" w:sz="8" w:space="0"/>
              <w:right w:val="nil"/>
            </w:tcBorders>
            <w:shd w:val="clear" w:color="auto" w:fill="FFFFFF"/>
            <w:vAlign w:val="center"/>
          </w:tcPr>
          <w:p w14:paraId="593F25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优质工程奖（参建奖）</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1B22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国家级、省级、市级分别为12分、8分、5分/项</w:t>
            </w:r>
          </w:p>
        </w:tc>
      </w:tr>
      <w:tr w14:paraId="1775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2E3442B0">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26B7C023">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46500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3421" w:type="dxa"/>
            <w:tcBorders>
              <w:top w:val="nil"/>
              <w:left w:val="nil"/>
              <w:bottom w:val="single" w:color="000000" w:sz="8" w:space="0"/>
              <w:right w:val="nil"/>
            </w:tcBorders>
            <w:shd w:val="clear" w:color="auto" w:fill="FFFFFF"/>
            <w:vAlign w:val="center"/>
          </w:tcPr>
          <w:p w14:paraId="49FB13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中国建筑工程装饰奖</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EBB3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10分/项</w:t>
            </w:r>
          </w:p>
        </w:tc>
      </w:tr>
      <w:tr w14:paraId="6CA5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48E9739B">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0C57D18A">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00288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3421" w:type="dxa"/>
            <w:tcBorders>
              <w:top w:val="nil"/>
              <w:left w:val="nil"/>
              <w:bottom w:val="single" w:color="000000" w:sz="8" w:space="0"/>
              <w:right w:val="nil"/>
            </w:tcBorders>
            <w:shd w:val="clear" w:color="auto" w:fill="FFFFFF"/>
            <w:vAlign w:val="center"/>
          </w:tcPr>
          <w:p w14:paraId="4E840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优良建筑装饰工程</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889C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省级、市级分别为6分、4分/项</w:t>
            </w:r>
          </w:p>
        </w:tc>
      </w:tr>
      <w:tr w14:paraId="3A8E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21351AC7">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16A881A7">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57191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3421" w:type="dxa"/>
            <w:tcBorders>
              <w:top w:val="nil"/>
              <w:left w:val="nil"/>
              <w:bottom w:val="single" w:color="000000" w:sz="8" w:space="0"/>
              <w:right w:val="nil"/>
            </w:tcBorders>
            <w:shd w:val="clear" w:color="auto" w:fill="FFFFFF"/>
            <w:vAlign w:val="center"/>
          </w:tcPr>
          <w:p w14:paraId="74B3A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装饰工程现场观摩项目</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1C2E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省级以上为5分、市级为3分/项</w:t>
            </w:r>
          </w:p>
        </w:tc>
      </w:tr>
      <w:tr w14:paraId="40B4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5F18615D">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6920D5A1">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3FFFC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3421" w:type="dxa"/>
            <w:tcBorders>
              <w:top w:val="nil"/>
              <w:left w:val="nil"/>
              <w:bottom w:val="single" w:color="000000" w:sz="8" w:space="0"/>
              <w:right w:val="nil"/>
            </w:tcBorders>
            <w:shd w:val="clear" w:color="auto" w:fill="FFFFFF"/>
            <w:vAlign w:val="center"/>
          </w:tcPr>
          <w:p w14:paraId="779DF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建筑装饰行业科学技术奖</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4F9F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10分/项</w:t>
            </w:r>
          </w:p>
        </w:tc>
      </w:tr>
      <w:tr w14:paraId="1F64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5C2AFE97">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548CE78E">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2133A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3421" w:type="dxa"/>
            <w:tcBorders>
              <w:top w:val="nil"/>
              <w:left w:val="nil"/>
              <w:bottom w:val="single" w:color="000000" w:sz="8" w:space="0"/>
              <w:right w:val="nil"/>
            </w:tcBorders>
            <w:shd w:val="clear" w:color="auto" w:fill="FFFFFF"/>
            <w:vAlign w:val="center"/>
          </w:tcPr>
          <w:p w14:paraId="49BA81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建筑装饰新技术应用创新工程</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F367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省级为10分、市级为5分/项</w:t>
            </w:r>
          </w:p>
        </w:tc>
      </w:tr>
      <w:tr w14:paraId="6DE5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78921B91">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2AB43165">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2A505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3421" w:type="dxa"/>
            <w:tcBorders>
              <w:top w:val="nil"/>
              <w:left w:val="nil"/>
              <w:bottom w:val="single" w:color="000000" w:sz="8" w:space="0"/>
              <w:right w:val="nil"/>
            </w:tcBorders>
            <w:shd w:val="clear" w:color="auto" w:fill="FFFFFF"/>
            <w:vAlign w:val="center"/>
          </w:tcPr>
          <w:p w14:paraId="68DF15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工法</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D292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国家级6分、省级4分/项</w:t>
            </w:r>
          </w:p>
        </w:tc>
      </w:tr>
      <w:tr w14:paraId="7888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74EFE636">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0C5FD77E">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0A701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3421" w:type="dxa"/>
            <w:tcBorders>
              <w:top w:val="nil"/>
              <w:left w:val="nil"/>
              <w:bottom w:val="single" w:color="000000" w:sz="8" w:space="0"/>
              <w:right w:val="nil"/>
            </w:tcBorders>
            <w:shd w:val="clear" w:color="auto" w:fill="FFFFFF"/>
            <w:vAlign w:val="center"/>
          </w:tcPr>
          <w:p w14:paraId="42D22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主编标准</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36DB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国家级6分、地方及行业4分/项</w:t>
            </w:r>
          </w:p>
        </w:tc>
      </w:tr>
      <w:tr w14:paraId="22E7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275661E9">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47B54B7D">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5BC0F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3421" w:type="dxa"/>
            <w:tcBorders>
              <w:top w:val="nil"/>
              <w:left w:val="nil"/>
              <w:bottom w:val="single" w:color="000000" w:sz="8" w:space="0"/>
              <w:right w:val="nil"/>
            </w:tcBorders>
            <w:shd w:val="clear" w:color="auto" w:fill="FFFFFF"/>
            <w:vAlign w:val="center"/>
          </w:tcPr>
          <w:p w14:paraId="41BC74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参编标准</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9C7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国家级4分、地方及行业2分/项</w:t>
            </w:r>
          </w:p>
        </w:tc>
      </w:tr>
      <w:tr w14:paraId="5A09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71841CEF">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20DDF797">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2F1EB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3421" w:type="dxa"/>
            <w:tcBorders>
              <w:top w:val="nil"/>
              <w:left w:val="nil"/>
              <w:bottom w:val="single" w:color="000000" w:sz="8" w:space="0"/>
              <w:right w:val="nil"/>
            </w:tcBorders>
            <w:shd w:val="clear" w:color="auto" w:fill="FFFFFF"/>
            <w:vAlign w:val="center"/>
          </w:tcPr>
          <w:p w14:paraId="7AAF59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“守合同、重信用”企业</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E80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省级、市级分别为6分、4分/项</w:t>
            </w:r>
          </w:p>
        </w:tc>
      </w:tr>
      <w:tr w14:paraId="6E37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19F3168F">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0D76568E">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4868F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3421" w:type="dxa"/>
            <w:tcBorders>
              <w:top w:val="nil"/>
              <w:left w:val="nil"/>
              <w:bottom w:val="single" w:color="000000" w:sz="8" w:space="0"/>
              <w:right w:val="nil"/>
            </w:tcBorders>
            <w:shd w:val="clear" w:color="auto" w:fill="FFFFFF"/>
            <w:vAlign w:val="center"/>
          </w:tcPr>
          <w:p w14:paraId="575771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建筑装饰施工标准化工地</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9A0B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省级、市级分别为4分、2分/项</w:t>
            </w:r>
          </w:p>
        </w:tc>
      </w:tr>
      <w:tr w14:paraId="4C3F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1B3859A3">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0F651559">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6A1A0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3421" w:type="dxa"/>
            <w:tcBorders>
              <w:top w:val="nil"/>
              <w:left w:val="nil"/>
              <w:bottom w:val="single" w:color="000000" w:sz="8" w:space="0"/>
              <w:right w:val="nil"/>
            </w:tcBorders>
            <w:shd w:val="clear" w:color="auto" w:fill="FFFFFF"/>
            <w:vAlign w:val="center"/>
          </w:tcPr>
          <w:p w14:paraId="48969F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装配式装修应用创新项目</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9560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省级、市级分别为8分、4分/项</w:t>
            </w:r>
          </w:p>
        </w:tc>
      </w:tr>
      <w:tr w14:paraId="1992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6F37C1A4">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02C548C5">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6BB74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3421" w:type="dxa"/>
            <w:tcBorders>
              <w:top w:val="nil"/>
              <w:left w:val="nil"/>
              <w:bottom w:val="single" w:color="000000" w:sz="8" w:space="0"/>
              <w:right w:val="nil"/>
            </w:tcBorders>
            <w:shd w:val="clear" w:color="auto" w:fill="FFFFFF"/>
            <w:vAlign w:val="center"/>
          </w:tcPr>
          <w:p w14:paraId="34BFB2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智能家居创新项目</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A35C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省级、市级分别为8分、4分/项</w:t>
            </w:r>
          </w:p>
        </w:tc>
      </w:tr>
      <w:tr w14:paraId="5843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2CF2AFA2">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0DB43638">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43AB7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3421" w:type="dxa"/>
            <w:tcBorders>
              <w:top w:val="nil"/>
              <w:left w:val="nil"/>
              <w:bottom w:val="single" w:color="000000" w:sz="8" w:space="0"/>
              <w:right w:val="nil"/>
            </w:tcBorders>
            <w:shd w:val="clear" w:color="auto" w:fill="FFFFFF"/>
            <w:vAlign w:val="center"/>
          </w:tcPr>
          <w:p w14:paraId="6A7A67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智能建造装备应用创新项目</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31A2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省级、市级分别为8分、4分/项</w:t>
            </w:r>
          </w:p>
        </w:tc>
      </w:tr>
      <w:tr w14:paraId="1045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778287FA">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3039A8D6">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1A5F4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3421" w:type="dxa"/>
            <w:tcBorders>
              <w:top w:val="nil"/>
              <w:left w:val="nil"/>
              <w:bottom w:val="single" w:color="000000" w:sz="8" w:space="0"/>
              <w:right w:val="nil"/>
            </w:tcBorders>
            <w:shd w:val="clear" w:color="auto" w:fill="FFFFFF"/>
            <w:vAlign w:val="center"/>
          </w:tcPr>
          <w:p w14:paraId="10B79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装饰装修项目绿色建材应用水平评价</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6031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省级、市级分别为8分、4分/项</w:t>
            </w:r>
          </w:p>
        </w:tc>
      </w:tr>
      <w:tr w14:paraId="5141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362CF058">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7C05FFC5">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000000" w:sz="8" w:space="0"/>
              <w:right w:val="single" w:color="000000" w:sz="8" w:space="0"/>
            </w:tcBorders>
            <w:shd w:val="clear" w:color="auto" w:fill="FFFFFF"/>
            <w:vAlign w:val="center"/>
          </w:tcPr>
          <w:p w14:paraId="15638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3421" w:type="dxa"/>
            <w:tcBorders>
              <w:top w:val="nil"/>
              <w:left w:val="nil"/>
              <w:bottom w:val="single" w:color="000000" w:sz="8" w:space="0"/>
              <w:right w:val="nil"/>
            </w:tcBorders>
            <w:shd w:val="clear" w:color="auto" w:fill="FFFFFF"/>
            <w:vAlign w:val="center"/>
          </w:tcPr>
          <w:p w14:paraId="7AECF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近三年进行社会公益活动情况（如向灾区捐赠、扶贫等）</w:t>
            </w:r>
          </w:p>
        </w:tc>
        <w:tc>
          <w:tcPr>
            <w:tcW w:w="438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343D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2分/项</w:t>
            </w:r>
          </w:p>
        </w:tc>
      </w:tr>
      <w:tr w14:paraId="07CA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6F535158">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41DDF22B">
            <w:pPr>
              <w:jc w:val="left"/>
              <w:rPr>
                <w:rFonts w:hint="eastAsia" w:ascii="宋体" w:hAnsi="宋体" w:eastAsia="宋体" w:cs="宋体"/>
                <w:b/>
                <w:bCs/>
                <w:i w:val="0"/>
                <w:iCs w:val="0"/>
                <w:color w:val="000000"/>
                <w:sz w:val="20"/>
                <w:szCs w:val="20"/>
                <w:u w:val="none"/>
              </w:rPr>
            </w:pPr>
          </w:p>
        </w:tc>
        <w:tc>
          <w:tcPr>
            <w:tcW w:w="525" w:type="dxa"/>
            <w:tcBorders>
              <w:top w:val="nil"/>
              <w:left w:val="single" w:color="auto" w:sz="4" w:space="0"/>
              <w:bottom w:val="single" w:color="auto" w:sz="4" w:space="0"/>
              <w:right w:val="single" w:color="000000" w:sz="8" w:space="0"/>
            </w:tcBorders>
            <w:shd w:val="clear" w:color="auto" w:fill="FFFFFF"/>
            <w:vAlign w:val="center"/>
          </w:tcPr>
          <w:p w14:paraId="1008F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3421" w:type="dxa"/>
            <w:tcBorders>
              <w:top w:val="nil"/>
              <w:left w:val="nil"/>
              <w:bottom w:val="single" w:color="auto" w:sz="4" w:space="0"/>
              <w:right w:val="nil"/>
            </w:tcBorders>
            <w:shd w:val="clear" w:color="auto" w:fill="FFFFFF"/>
            <w:vAlign w:val="center"/>
          </w:tcPr>
          <w:p w14:paraId="22E61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建筑装饰工程安全文明施工红榜</w:t>
            </w:r>
          </w:p>
        </w:tc>
        <w:tc>
          <w:tcPr>
            <w:tcW w:w="4382" w:type="dxa"/>
            <w:tcBorders>
              <w:top w:val="single" w:color="000000" w:sz="8" w:space="0"/>
              <w:left w:val="single" w:color="000000" w:sz="8" w:space="0"/>
              <w:bottom w:val="single" w:color="auto" w:sz="4" w:space="0"/>
              <w:right w:val="single" w:color="000000" w:sz="8" w:space="0"/>
            </w:tcBorders>
            <w:shd w:val="clear" w:color="auto" w:fill="FFFFFF"/>
            <w:vAlign w:val="center"/>
          </w:tcPr>
          <w:p w14:paraId="013DD4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省级、市级分别为5分、3分/项</w:t>
            </w:r>
          </w:p>
        </w:tc>
      </w:tr>
      <w:tr w14:paraId="61ED9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7" w:type="dxa"/>
            <w:vMerge w:val="continue"/>
            <w:tcBorders>
              <w:top w:val="nil"/>
              <w:left w:val="single" w:color="auto" w:sz="4" w:space="0"/>
              <w:bottom w:val="nil"/>
              <w:right w:val="single" w:color="000000" w:sz="8" w:space="0"/>
            </w:tcBorders>
            <w:shd w:val="clear" w:color="auto" w:fill="FFFFFF"/>
            <w:vAlign w:val="center"/>
          </w:tcPr>
          <w:p w14:paraId="51C69A42">
            <w:pPr>
              <w:jc w:val="center"/>
              <w:rPr>
                <w:rFonts w:hint="eastAsia" w:ascii="宋体" w:hAnsi="宋体" w:eastAsia="宋体" w:cs="宋体"/>
                <w:b/>
                <w:bCs/>
                <w:i w:val="0"/>
                <w:iCs w:val="0"/>
                <w:color w:val="000000"/>
                <w:sz w:val="20"/>
                <w:szCs w:val="20"/>
                <w:u w:val="none"/>
              </w:rPr>
            </w:pPr>
          </w:p>
        </w:tc>
        <w:tc>
          <w:tcPr>
            <w:tcW w:w="417" w:type="dxa"/>
            <w:vMerge w:val="continue"/>
            <w:tcBorders>
              <w:top w:val="nil"/>
              <w:left w:val="single" w:color="000000" w:sz="8" w:space="0"/>
              <w:bottom w:val="nil"/>
              <w:right w:val="single" w:color="auto" w:sz="4" w:space="0"/>
            </w:tcBorders>
            <w:shd w:val="clear" w:color="auto" w:fill="FFFFFF"/>
            <w:vAlign w:val="center"/>
          </w:tcPr>
          <w:p w14:paraId="01DEAE83">
            <w:pPr>
              <w:jc w:val="left"/>
              <w:rPr>
                <w:rFonts w:hint="eastAsia" w:ascii="宋体" w:hAnsi="宋体" w:eastAsia="宋体" w:cs="宋体"/>
                <w:b/>
                <w:bCs/>
                <w:i w:val="0"/>
                <w:iCs w:val="0"/>
                <w:color w:val="000000"/>
                <w:sz w:val="20"/>
                <w:szCs w:val="20"/>
                <w:u w:val="none"/>
              </w:rPr>
            </w:pP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14:paraId="46FD7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3421" w:type="dxa"/>
            <w:tcBorders>
              <w:top w:val="single" w:color="auto" w:sz="4" w:space="0"/>
              <w:left w:val="single" w:color="auto" w:sz="4" w:space="0"/>
              <w:bottom w:val="single" w:color="auto" w:sz="4" w:space="0"/>
              <w:right w:val="single" w:color="auto" w:sz="4" w:space="0"/>
            </w:tcBorders>
            <w:shd w:val="clear" w:color="auto" w:fill="FFFFFF"/>
            <w:vAlign w:val="center"/>
          </w:tcPr>
          <w:p w14:paraId="2B8B1D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项目使用数字化技术</w:t>
            </w:r>
          </w:p>
        </w:tc>
        <w:tc>
          <w:tcPr>
            <w:tcW w:w="4382" w:type="dxa"/>
            <w:tcBorders>
              <w:top w:val="single" w:color="auto" w:sz="4" w:space="0"/>
              <w:left w:val="single" w:color="auto" w:sz="4" w:space="0"/>
              <w:bottom w:val="single" w:color="auto" w:sz="4" w:space="0"/>
              <w:right w:val="single" w:color="auto" w:sz="4" w:space="0"/>
            </w:tcBorders>
            <w:shd w:val="clear" w:color="auto" w:fill="FFFFFF"/>
            <w:vAlign w:val="center"/>
          </w:tcPr>
          <w:p w14:paraId="69774F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省级、市级分别为5分、3分/项</w:t>
            </w:r>
          </w:p>
        </w:tc>
      </w:tr>
      <w:tr w14:paraId="46F3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17" w:type="dxa"/>
            <w:tcBorders>
              <w:top w:val="nil"/>
              <w:left w:val="single" w:color="auto" w:sz="4" w:space="0"/>
              <w:bottom w:val="single" w:color="auto" w:sz="4" w:space="0"/>
              <w:right w:val="single" w:color="000000" w:sz="8" w:space="0"/>
            </w:tcBorders>
            <w:shd w:val="clear" w:color="auto" w:fill="FFFFFF"/>
            <w:vAlign w:val="center"/>
          </w:tcPr>
          <w:p w14:paraId="2CECAE39">
            <w:pPr>
              <w:jc w:val="center"/>
              <w:rPr>
                <w:rFonts w:hint="eastAsia" w:ascii="宋体" w:hAnsi="宋体" w:eastAsia="宋体" w:cs="宋体"/>
                <w:b/>
                <w:bCs/>
                <w:i w:val="0"/>
                <w:iCs w:val="0"/>
                <w:color w:val="000000"/>
                <w:sz w:val="20"/>
                <w:szCs w:val="20"/>
                <w:u w:val="none"/>
              </w:rPr>
            </w:pPr>
          </w:p>
        </w:tc>
        <w:tc>
          <w:tcPr>
            <w:tcW w:w="417" w:type="dxa"/>
            <w:tcBorders>
              <w:top w:val="nil"/>
              <w:left w:val="single" w:color="000000" w:sz="8" w:space="0"/>
              <w:bottom w:val="single" w:color="auto" w:sz="4" w:space="0"/>
              <w:right w:val="single" w:color="auto" w:sz="4" w:space="0"/>
            </w:tcBorders>
            <w:shd w:val="clear" w:color="auto" w:fill="FFFFFF"/>
            <w:vAlign w:val="center"/>
          </w:tcPr>
          <w:p w14:paraId="63DF3DC5">
            <w:pPr>
              <w:jc w:val="left"/>
              <w:rPr>
                <w:rFonts w:hint="eastAsia" w:ascii="宋体" w:hAnsi="宋体" w:eastAsia="宋体" w:cs="宋体"/>
                <w:b/>
                <w:bCs/>
                <w:i w:val="0"/>
                <w:iCs w:val="0"/>
                <w:color w:val="000000"/>
                <w:sz w:val="20"/>
                <w:szCs w:val="20"/>
                <w:u w:val="none"/>
              </w:rPr>
            </w:pP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14:paraId="53F1F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w:t>
            </w:r>
          </w:p>
        </w:tc>
        <w:tc>
          <w:tcPr>
            <w:tcW w:w="3421" w:type="dxa"/>
            <w:tcBorders>
              <w:top w:val="single" w:color="auto" w:sz="4" w:space="0"/>
              <w:left w:val="single" w:color="auto" w:sz="4" w:space="0"/>
              <w:bottom w:val="single" w:color="auto" w:sz="4" w:space="0"/>
              <w:right w:val="single" w:color="auto" w:sz="4" w:space="0"/>
            </w:tcBorders>
            <w:shd w:val="clear" w:color="auto" w:fill="FFFFFF"/>
            <w:vAlign w:val="center"/>
          </w:tcPr>
          <w:p w14:paraId="1F32E9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项目使用BIM技术</w:t>
            </w:r>
          </w:p>
        </w:tc>
        <w:tc>
          <w:tcPr>
            <w:tcW w:w="4382" w:type="dxa"/>
            <w:tcBorders>
              <w:top w:val="single" w:color="auto" w:sz="4" w:space="0"/>
              <w:left w:val="single" w:color="auto" w:sz="4" w:space="0"/>
              <w:bottom w:val="single" w:color="auto" w:sz="4" w:space="0"/>
              <w:right w:val="single" w:color="auto" w:sz="4" w:space="0"/>
            </w:tcBorders>
            <w:shd w:val="clear" w:color="auto" w:fill="FFFFFF"/>
            <w:vAlign w:val="center"/>
          </w:tcPr>
          <w:p w14:paraId="1FDF81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省级、市级分别为5分、3分/项</w:t>
            </w:r>
          </w:p>
        </w:tc>
      </w:tr>
    </w:tbl>
    <w:p w14:paraId="0AC8C0DD">
      <w:pPr>
        <w:rPr>
          <w:rFonts w:hint="default" w:ascii="方正小标宋_GBK" w:eastAsia="方正小标宋_GBK"/>
          <w:b/>
          <w:bCs/>
          <w:sz w:val="24"/>
          <w:szCs w:val="24"/>
          <w:lang w:val="en-US" w:eastAsia="zh-CN"/>
        </w:rPr>
      </w:pPr>
      <w:r>
        <w:rPr>
          <w:rFonts w:hint="eastAsia" w:ascii="方正小标宋_GBK" w:eastAsia="方正小标宋_GBK"/>
          <w:b/>
          <w:bCs/>
          <w:sz w:val="24"/>
          <w:szCs w:val="24"/>
          <w:lang w:val="en-US" w:eastAsia="zh-CN"/>
        </w:rPr>
        <w:t>注：以上优良行为提供近三年</w:t>
      </w:r>
    </w:p>
    <w:p w14:paraId="2F486DC1">
      <w:pPr>
        <w:spacing w:line="594" w:lineRule="exact"/>
        <w:jc w:val="center"/>
        <w:rPr>
          <w:rFonts w:hint="eastAsia" w:ascii="方正小标宋_GBK" w:eastAsia="方正小标宋_GBK"/>
          <w:sz w:val="40"/>
          <w:szCs w:val="40"/>
        </w:rPr>
      </w:pPr>
    </w:p>
    <w:p w14:paraId="1A89A39C">
      <w:pPr>
        <w:spacing w:line="594" w:lineRule="exact"/>
        <w:jc w:val="center"/>
        <w:rPr>
          <w:rFonts w:hint="eastAsia" w:ascii="方正小标宋_GBK" w:eastAsia="方正小标宋_GBK"/>
          <w:sz w:val="40"/>
          <w:szCs w:val="40"/>
        </w:rPr>
      </w:pPr>
    </w:p>
    <w:p w14:paraId="3E681DFE">
      <w:pPr>
        <w:jc w:val="center"/>
        <w:rPr>
          <w:rFonts w:hint="eastAsia" w:ascii="方正大标宋简体" w:hAnsi="方正大标宋简体" w:eastAsia="方正大标宋简体" w:cs="方正大标宋简体"/>
          <w:b/>
          <w:bCs/>
          <w:sz w:val="36"/>
          <w:szCs w:val="36"/>
          <w:lang w:val="en-US" w:eastAsia="zh-CN"/>
        </w:rPr>
      </w:pPr>
    </w:p>
    <w:p w14:paraId="6A6E8FCB">
      <w:pPr>
        <w:jc w:val="center"/>
        <w:rPr>
          <w:rFonts w:hint="eastAsia" w:ascii="方正大标宋简体" w:hAnsi="方正大标宋简体" w:eastAsia="方正大标宋简体" w:cs="方正大标宋简体"/>
          <w:b/>
          <w:bCs/>
          <w:sz w:val="36"/>
          <w:szCs w:val="36"/>
          <w:lang w:val="en-US" w:eastAsia="zh-CN"/>
        </w:rPr>
      </w:pPr>
      <w:bookmarkStart w:id="1" w:name="_GoBack"/>
      <w:bookmarkEnd w:id="1"/>
      <w:r>
        <w:rPr>
          <w:rFonts w:hint="eastAsia" w:ascii="方正大标宋简体" w:hAnsi="方正大标宋简体" w:eastAsia="方正大标宋简体" w:cs="方正大标宋简体"/>
          <w:b/>
          <w:bCs/>
          <w:sz w:val="36"/>
          <w:szCs w:val="36"/>
          <w:lang w:val="en-US" w:eastAsia="zh-CN"/>
        </w:rPr>
        <w:t>不良行为评价标准</w:t>
      </w:r>
    </w:p>
    <w:tbl>
      <w:tblPr>
        <w:tblStyle w:val="8"/>
        <w:tblW w:w="9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417"/>
        <w:gridCol w:w="525"/>
        <w:gridCol w:w="6967"/>
        <w:gridCol w:w="804"/>
      </w:tblGrid>
      <w:tr w14:paraId="0BCE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4" w:type="dxa"/>
            <w:gridSpan w:val="2"/>
            <w:tcBorders>
              <w:top w:val="single" w:color="000000" w:sz="8" w:space="0"/>
              <w:left w:val="single" w:color="000000" w:sz="8" w:space="0"/>
              <w:bottom w:val="single" w:color="000000" w:sz="8" w:space="0"/>
              <w:right w:val="single" w:color="auto" w:sz="4" w:space="0"/>
            </w:tcBorders>
            <w:shd w:val="clear" w:color="auto" w:fill="EEECE1"/>
            <w:vAlign w:val="center"/>
          </w:tcPr>
          <w:p w14:paraId="6E910B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525" w:type="dxa"/>
            <w:tcBorders>
              <w:top w:val="single" w:color="auto" w:sz="4" w:space="0"/>
              <w:left w:val="single" w:color="auto" w:sz="4" w:space="0"/>
              <w:bottom w:val="single" w:color="auto" w:sz="4" w:space="0"/>
              <w:right w:val="nil"/>
            </w:tcBorders>
            <w:shd w:val="clear" w:color="auto" w:fill="EEECE1"/>
            <w:vAlign w:val="center"/>
          </w:tcPr>
          <w:p w14:paraId="7E4C2B3E">
            <w:pPr>
              <w:jc w:val="left"/>
              <w:rPr>
                <w:rFonts w:hint="eastAsia" w:ascii="宋体" w:hAnsi="宋体" w:eastAsia="宋体" w:cs="宋体"/>
                <w:b/>
                <w:bCs/>
                <w:i w:val="0"/>
                <w:iCs w:val="0"/>
                <w:color w:val="000000"/>
                <w:sz w:val="24"/>
                <w:szCs w:val="24"/>
                <w:u w:val="none"/>
              </w:rPr>
            </w:pPr>
          </w:p>
        </w:tc>
        <w:tc>
          <w:tcPr>
            <w:tcW w:w="6967" w:type="dxa"/>
            <w:tcBorders>
              <w:top w:val="single" w:color="auto" w:sz="4" w:space="0"/>
              <w:left w:val="nil"/>
              <w:bottom w:val="single" w:color="auto" w:sz="4" w:space="0"/>
              <w:right w:val="single" w:color="auto" w:sz="4" w:space="0"/>
            </w:tcBorders>
            <w:shd w:val="clear" w:color="auto" w:fill="EEECE1"/>
            <w:vAlign w:val="center"/>
          </w:tcPr>
          <w:p w14:paraId="72BF1A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行为描述</w:t>
            </w:r>
          </w:p>
        </w:tc>
        <w:tc>
          <w:tcPr>
            <w:tcW w:w="804" w:type="dxa"/>
            <w:tcBorders>
              <w:top w:val="single" w:color="000000" w:sz="8" w:space="0"/>
              <w:left w:val="single" w:color="auto" w:sz="4" w:space="0"/>
              <w:bottom w:val="single" w:color="000000" w:sz="8" w:space="0"/>
              <w:right w:val="single" w:color="000000" w:sz="8" w:space="0"/>
            </w:tcBorders>
            <w:shd w:val="clear" w:color="auto" w:fill="EEECE1"/>
            <w:vAlign w:val="center"/>
          </w:tcPr>
          <w:p w14:paraId="243F1F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r>
      <w:tr w14:paraId="68C0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restart"/>
            <w:tcBorders>
              <w:top w:val="single" w:color="000000" w:sz="8" w:space="0"/>
              <w:left w:val="single" w:color="000000" w:sz="8" w:space="0"/>
              <w:right w:val="single" w:color="000000" w:sz="8" w:space="0"/>
            </w:tcBorders>
            <w:shd w:val="clear" w:color="auto" w:fill="FFFFFF"/>
            <w:vAlign w:val="center"/>
          </w:tcPr>
          <w:p w14:paraId="613A2A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不良</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417" w:type="dxa"/>
            <w:vMerge w:val="restart"/>
            <w:tcBorders>
              <w:top w:val="single" w:color="000000" w:sz="8" w:space="0"/>
              <w:left w:val="nil"/>
              <w:bottom w:val="single" w:color="000000" w:sz="8" w:space="0"/>
              <w:right w:val="single" w:color="000000" w:sz="8" w:space="0"/>
            </w:tcBorders>
            <w:shd w:val="clear" w:color="auto" w:fill="FFFFFF"/>
            <w:vAlign w:val="center"/>
          </w:tcPr>
          <w:p w14:paraId="07095C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资质</w:t>
            </w:r>
          </w:p>
        </w:tc>
        <w:tc>
          <w:tcPr>
            <w:tcW w:w="525" w:type="dxa"/>
            <w:tcBorders>
              <w:top w:val="single" w:color="auto" w:sz="4" w:space="0"/>
              <w:left w:val="nil"/>
              <w:bottom w:val="single" w:color="000000" w:sz="8" w:space="0"/>
              <w:right w:val="single" w:color="000000" w:sz="8" w:space="0"/>
            </w:tcBorders>
            <w:shd w:val="clear" w:color="auto" w:fill="FFFFFF"/>
            <w:vAlign w:val="center"/>
          </w:tcPr>
          <w:p w14:paraId="396E7F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967" w:type="dxa"/>
            <w:tcBorders>
              <w:top w:val="single" w:color="auto" w:sz="4" w:space="0"/>
              <w:left w:val="nil"/>
              <w:bottom w:val="single" w:color="000000" w:sz="8" w:space="0"/>
              <w:right w:val="single" w:color="000000" w:sz="8" w:space="0"/>
            </w:tcBorders>
            <w:shd w:val="clear" w:color="auto" w:fill="FFFFFF"/>
            <w:vAlign w:val="center"/>
          </w:tcPr>
          <w:p w14:paraId="0BA74A1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允许其他单位或个人以本单位名义承揽工程</w:t>
            </w:r>
          </w:p>
        </w:tc>
        <w:tc>
          <w:tcPr>
            <w:tcW w:w="804" w:type="dxa"/>
            <w:tcBorders>
              <w:top w:val="single" w:color="000000" w:sz="8" w:space="0"/>
              <w:left w:val="nil"/>
              <w:bottom w:val="single" w:color="000000" w:sz="8" w:space="0"/>
              <w:right w:val="single" w:color="000000" w:sz="8" w:space="0"/>
            </w:tcBorders>
            <w:shd w:val="clear" w:color="auto" w:fill="FFFFFF"/>
            <w:vAlign w:val="center"/>
          </w:tcPr>
          <w:p w14:paraId="1789A8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346D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160148F8">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25F1B77D">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05211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967" w:type="dxa"/>
            <w:tcBorders>
              <w:top w:val="nil"/>
              <w:left w:val="nil"/>
              <w:bottom w:val="single" w:color="000000" w:sz="8" w:space="0"/>
              <w:right w:val="single" w:color="000000" w:sz="8" w:space="0"/>
            </w:tcBorders>
            <w:shd w:val="clear" w:color="auto" w:fill="FFFFFF"/>
            <w:vAlign w:val="center"/>
          </w:tcPr>
          <w:p w14:paraId="3E8E9A7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涂改、伪造、出借、转让建筑企业资质证书</w:t>
            </w:r>
          </w:p>
        </w:tc>
        <w:tc>
          <w:tcPr>
            <w:tcW w:w="804" w:type="dxa"/>
            <w:tcBorders>
              <w:top w:val="nil"/>
              <w:left w:val="nil"/>
              <w:bottom w:val="single" w:color="000000" w:sz="8" w:space="0"/>
              <w:right w:val="single" w:color="000000" w:sz="8" w:space="0"/>
            </w:tcBorders>
            <w:shd w:val="clear" w:color="auto" w:fill="FFFFFF"/>
            <w:vAlign w:val="center"/>
          </w:tcPr>
          <w:p w14:paraId="79B29F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0B7D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03FE29C1">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2CC94872">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2B9718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967" w:type="dxa"/>
            <w:tcBorders>
              <w:top w:val="nil"/>
              <w:left w:val="nil"/>
              <w:bottom w:val="single" w:color="000000" w:sz="8" w:space="0"/>
              <w:right w:val="single" w:color="000000" w:sz="8" w:space="0"/>
            </w:tcBorders>
            <w:shd w:val="clear" w:color="auto" w:fill="FFFFFF"/>
            <w:vAlign w:val="center"/>
          </w:tcPr>
          <w:p w14:paraId="3426E95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未取得资质证书或超越本单位资质等级承揽工程</w:t>
            </w:r>
          </w:p>
        </w:tc>
        <w:tc>
          <w:tcPr>
            <w:tcW w:w="804" w:type="dxa"/>
            <w:tcBorders>
              <w:top w:val="nil"/>
              <w:left w:val="nil"/>
              <w:bottom w:val="single" w:color="000000" w:sz="8" w:space="0"/>
              <w:right w:val="single" w:color="000000" w:sz="8" w:space="0"/>
            </w:tcBorders>
            <w:shd w:val="clear" w:color="auto" w:fill="FFFFFF"/>
            <w:vAlign w:val="center"/>
          </w:tcPr>
          <w:p w14:paraId="6FB283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0EEA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4788BBCE">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525351BB">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569C19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6967" w:type="dxa"/>
            <w:tcBorders>
              <w:top w:val="nil"/>
              <w:left w:val="nil"/>
              <w:bottom w:val="single" w:color="000000" w:sz="8" w:space="0"/>
              <w:right w:val="single" w:color="000000" w:sz="8" w:space="0"/>
            </w:tcBorders>
            <w:shd w:val="clear" w:color="auto" w:fill="FFFFFF"/>
            <w:vAlign w:val="center"/>
          </w:tcPr>
          <w:p w14:paraId="69B94C6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以欺骗手段取得资质证书承揽工程</w:t>
            </w:r>
          </w:p>
        </w:tc>
        <w:tc>
          <w:tcPr>
            <w:tcW w:w="804" w:type="dxa"/>
            <w:tcBorders>
              <w:top w:val="nil"/>
              <w:left w:val="nil"/>
              <w:bottom w:val="single" w:color="000000" w:sz="8" w:space="0"/>
              <w:right w:val="single" w:color="000000" w:sz="8" w:space="0"/>
            </w:tcBorders>
            <w:shd w:val="clear" w:color="auto" w:fill="FFFFFF"/>
            <w:vAlign w:val="center"/>
          </w:tcPr>
          <w:p w14:paraId="3EE27D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393F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5093B4D5">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16368FCF">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57A7D7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6967" w:type="dxa"/>
            <w:tcBorders>
              <w:top w:val="nil"/>
              <w:left w:val="nil"/>
              <w:bottom w:val="single" w:color="000000" w:sz="8" w:space="0"/>
              <w:right w:val="single" w:color="000000" w:sz="8" w:space="0"/>
            </w:tcBorders>
            <w:shd w:val="clear" w:color="auto" w:fill="FFFFFF"/>
            <w:vAlign w:val="center"/>
          </w:tcPr>
          <w:p w14:paraId="4777138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受到建设行政主管部门停业整顿、降低资质等级行政处罚</w:t>
            </w:r>
          </w:p>
        </w:tc>
        <w:tc>
          <w:tcPr>
            <w:tcW w:w="804" w:type="dxa"/>
            <w:tcBorders>
              <w:top w:val="nil"/>
              <w:left w:val="nil"/>
              <w:bottom w:val="single" w:color="000000" w:sz="8" w:space="0"/>
              <w:right w:val="single" w:color="000000" w:sz="8" w:space="0"/>
            </w:tcBorders>
            <w:shd w:val="clear" w:color="auto" w:fill="FFFFFF"/>
            <w:vAlign w:val="center"/>
          </w:tcPr>
          <w:p w14:paraId="71B2E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14:paraId="44B7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01C692D6">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631F4F8F">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0E3777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6967" w:type="dxa"/>
            <w:tcBorders>
              <w:top w:val="nil"/>
              <w:left w:val="nil"/>
              <w:bottom w:val="single" w:color="000000" w:sz="8" w:space="0"/>
              <w:right w:val="single" w:color="000000" w:sz="8" w:space="0"/>
            </w:tcBorders>
            <w:shd w:val="clear" w:color="auto" w:fill="FFFFFF"/>
            <w:vAlign w:val="center"/>
          </w:tcPr>
          <w:p w14:paraId="284BEA6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受到建设行政主管部门吊销资质证书行政处罚</w:t>
            </w:r>
          </w:p>
        </w:tc>
        <w:tc>
          <w:tcPr>
            <w:tcW w:w="804" w:type="dxa"/>
            <w:tcBorders>
              <w:top w:val="nil"/>
              <w:left w:val="nil"/>
              <w:bottom w:val="single" w:color="000000" w:sz="8" w:space="0"/>
              <w:right w:val="single" w:color="000000" w:sz="8" w:space="0"/>
            </w:tcBorders>
            <w:shd w:val="clear" w:color="auto" w:fill="FFFFFF"/>
            <w:vAlign w:val="center"/>
          </w:tcPr>
          <w:p w14:paraId="607A44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14:paraId="308F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3EB14D6C">
            <w:pPr>
              <w:jc w:val="center"/>
              <w:rPr>
                <w:rFonts w:hint="eastAsia" w:ascii="宋体" w:hAnsi="宋体" w:eastAsia="宋体" w:cs="宋体"/>
                <w:b/>
                <w:bCs/>
                <w:i w:val="0"/>
                <w:iCs w:val="0"/>
                <w:color w:val="000000"/>
                <w:sz w:val="20"/>
                <w:szCs w:val="20"/>
                <w:u w:val="none"/>
              </w:rPr>
            </w:pPr>
          </w:p>
        </w:tc>
        <w:tc>
          <w:tcPr>
            <w:tcW w:w="417" w:type="dxa"/>
            <w:vMerge w:val="restart"/>
            <w:tcBorders>
              <w:top w:val="single" w:color="000000" w:sz="8" w:space="0"/>
              <w:left w:val="nil"/>
              <w:right w:val="single" w:color="000000" w:sz="8" w:space="0"/>
            </w:tcBorders>
            <w:shd w:val="clear" w:color="auto" w:fill="FFFFFF"/>
            <w:vAlign w:val="center"/>
          </w:tcPr>
          <w:p w14:paraId="7377B6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承揽业务</w:t>
            </w:r>
          </w:p>
        </w:tc>
        <w:tc>
          <w:tcPr>
            <w:tcW w:w="525" w:type="dxa"/>
            <w:tcBorders>
              <w:top w:val="nil"/>
              <w:left w:val="nil"/>
              <w:bottom w:val="single" w:color="000000" w:sz="8" w:space="0"/>
              <w:right w:val="single" w:color="000000" w:sz="8" w:space="0"/>
            </w:tcBorders>
            <w:shd w:val="clear" w:color="auto" w:fill="FFFFFF"/>
            <w:vAlign w:val="center"/>
          </w:tcPr>
          <w:p w14:paraId="3FEC3F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6967" w:type="dxa"/>
            <w:tcBorders>
              <w:top w:val="nil"/>
              <w:left w:val="nil"/>
              <w:bottom w:val="single" w:color="000000" w:sz="8" w:space="0"/>
              <w:right w:val="single" w:color="000000" w:sz="8" w:space="0"/>
            </w:tcBorders>
            <w:shd w:val="clear" w:color="auto" w:fill="FFFFFF"/>
            <w:vAlign w:val="center"/>
          </w:tcPr>
          <w:p w14:paraId="6584DC6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在“楚智建”平台登记时，提供虚假或不实信息</w:t>
            </w:r>
          </w:p>
        </w:tc>
        <w:tc>
          <w:tcPr>
            <w:tcW w:w="804" w:type="dxa"/>
            <w:tcBorders>
              <w:top w:val="nil"/>
              <w:left w:val="nil"/>
              <w:bottom w:val="single" w:color="000000" w:sz="8" w:space="0"/>
              <w:right w:val="single" w:color="000000" w:sz="8" w:space="0"/>
            </w:tcBorders>
            <w:shd w:val="clear" w:color="auto" w:fill="FFFFFF"/>
            <w:vAlign w:val="center"/>
          </w:tcPr>
          <w:p w14:paraId="5C8D22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4C44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3F305F18">
            <w:pPr>
              <w:jc w:val="center"/>
              <w:rPr>
                <w:rFonts w:hint="eastAsia" w:ascii="宋体" w:hAnsi="宋体" w:eastAsia="宋体" w:cs="宋体"/>
                <w:b/>
                <w:bCs/>
                <w:i w:val="0"/>
                <w:iCs w:val="0"/>
                <w:color w:val="000000"/>
                <w:sz w:val="20"/>
                <w:szCs w:val="20"/>
                <w:u w:val="none"/>
              </w:rPr>
            </w:pPr>
          </w:p>
        </w:tc>
        <w:tc>
          <w:tcPr>
            <w:tcW w:w="417" w:type="dxa"/>
            <w:vMerge w:val="continue"/>
            <w:tcBorders>
              <w:left w:val="nil"/>
              <w:right w:val="single" w:color="000000" w:sz="8" w:space="0"/>
            </w:tcBorders>
            <w:shd w:val="clear" w:color="auto" w:fill="FFFFFF"/>
            <w:vAlign w:val="center"/>
          </w:tcPr>
          <w:p w14:paraId="12EFC721">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1CB3AE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6967" w:type="dxa"/>
            <w:tcBorders>
              <w:top w:val="nil"/>
              <w:left w:val="nil"/>
              <w:bottom w:val="single" w:color="000000" w:sz="8" w:space="0"/>
              <w:right w:val="single" w:color="000000" w:sz="8" w:space="0"/>
            </w:tcBorders>
            <w:shd w:val="clear" w:color="auto" w:fill="FFFFFF"/>
            <w:vAlign w:val="center"/>
          </w:tcPr>
          <w:p w14:paraId="4071B1C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与建设单位串通、肢解工程达到规避招标的目的，或者未招先定、明招暗定</w:t>
            </w:r>
          </w:p>
        </w:tc>
        <w:tc>
          <w:tcPr>
            <w:tcW w:w="804" w:type="dxa"/>
            <w:tcBorders>
              <w:top w:val="nil"/>
              <w:left w:val="nil"/>
              <w:bottom w:val="single" w:color="000000" w:sz="8" w:space="0"/>
              <w:right w:val="single" w:color="000000" w:sz="8" w:space="0"/>
            </w:tcBorders>
            <w:shd w:val="clear" w:color="auto" w:fill="FFFFFF"/>
            <w:vAlign w:val="center"/>
          </w:tcPr>
          <w:p w14:paraId="3F87D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0F83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4199EDBC">
            <w:pPr>
              <w:jc w:val="center"/>
              <w:rPr>
                <w:rFonts w:hint="eastAsia" w:ascii="宋体" w:hAnsi="宋体" w:eastAsia="宋体" w:cs="宋体"/>
                <w:b/>
                <w:bCs/>
                <w:i w:val="0"/>
                <w:iCs w:val="0"/>
                <w:color w:val="000000"/>
                <w:sz w:val="20"/>
                <w:szCs w:val="20"/>
                <w:u w:val="none"/>
              </w:rPr>
            </w:pPr>
          </w:p>
        </w:tc>
        <w:tc>
          <w:tcPr>
            <w:tcW w:w="417" w:type="dxa"/>
            <w:vMerge w:val="continue"/>
            <w:tcBorders>
              <w:left w:val="nil"/>
              <w:right w:val="single" w:color="000000" w:sz="8" w:space="0"/>
            </w:tcBorders>
            <w:shd w:val="clear" w:color="auto" w:fill="FFFFFF"/>
            <w:vAlign w:val="center"/>
          </w:tcPr>
          <w:p w14:paraId="7B9191C1">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7521C6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6967" w:type="dxa"/>
            <w:tcBorders>
              <w:top w:val="nil"/>
              <w:left w:val="nil"/>
              <w:bottom w:val="single" w:color="000000" w:sz="8" w:space="0"/>
              <w:right w:val="single" w:color="000000" w:sz="8" w:space="0"/>
            </w:tcBorders>
            <w:shd w:val="clear" w:color="auto" w:fill="FFFFFF"/>
            <w:vAlign w:val="center"/>
          </w:tcPr>
          <w:p w14:paraId="004B1BC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相互围标、串标或者与招标人串通投标</w:t>
            </w:r>
          </w:p>
        </w:tc>
        <w:tc>
          <w:tcPr>
            <w:tcW w:w="804" w:type="dxa"/>
            <w:tcBorders>
              <w:top w:val="nil"/>
              <w:left w:val="nil"/>
              <w:bottom w:val="single" w:color="000000" w:sz="8" w:space="0"/>
              <w:right w:val="single" w:color="000000" w:sz="8" w:space="0"/>
            </w:tcBorders>
            <w:shd w:val="clear" w:color="auto" w:fill="FFFFFF"/>
            <w:vAlign w:val="center"/>
          </w:tcPr>
          <w:p w14:paraId="37CE11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14:paraId="4C49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7" w:type="dxa"/>
            <w:vMerge w:val="continue"/>
            <w:tcBorders>
              <w:left w:val="single" w:color="000000" w:sz="8" w:space="0"/>
              <w:right w:val="single" w:color="000000" w:sz="8" w:space="0"/>
            </w:tcBorders>
            <w:shd w:val="clear" w:color="auto" w:fill="FFFFFF"/>
            <w:vAlign w:val="center"/>
          </w:tcPr>
          <w:p w14:paraId="4544DD6E">
            <w:pPr>
              <w:jc w:val="center"/>
              <w:rPr>
                <w:rFonts w:hint="eastAsia" w:ascii="宋体" w:hAnsi="宋体" w:eastAsia="宋体" w:cs="宋体"/>
                <w:b/>
                <w:bCs/>
                <w:i w:val="0"/>
                <w:iCs w:val="0"/>
                <w:color w:val="000000"/>
                <w:sz w:val="20"/>
                <w:szCs w:val="20"/>
                <w:u w:val="none"/>
              </w:rPr>
            </w:pPr>
          </w:p>
        </w:tc>
        <w:tc>
          <w:tcPr>
            <w:tcW w:w="417" w:type="dxa"/>
            <w:vMerge w:val="continue"/>
            <w:tcBorders>
              <w:left w:val="nil"/>
              <w:right w:val="single" w:color="000000" w:sz="8" w:space="0"/>
            </w:tcBorders>
            <w:shd w:val="clear" w:color="auto" w:fill="FFFFFF"/>
            <w:vAlign w:val="center"/>
          </w:tcPr>
          <w:p w14:paraId="0AEE9DD0">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5929009F">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w:t>
            </w:r>
          </w:p>
        </w:tc>
        <w:tc>
          <w:tcPr>
            <w:tcW w:w="6967" w:type="dxa"/>
            <w:tcBorders>
              <w:top w:val="nil"/>
              <w:left w:val="nil"/>
              <w:bottom w:val="single" w:color="000000" w:sz="8" w:space="0"/>
              <w:right w:val="single" w:color="000000" w:sz="8" w:space="0"/>
            </w:tcBorders>
            <w:shd w:val="clear" w:color="auto" w:fill="FFFFFF"/>
            <w:vAlign w:val="center"/>
          </w:tcPr>
          <w:p w14:paraId="3DB7AE3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以他人名义投标或者以其他方式弄虚作假，骗取中标</w:t>
            </w:r>
          </w:p>
        </w:tc>
        <w:tc>
          <w:tcPr>
            <w:tcW w:w="804" w:type="dxa"/>
            <w:tcBorders>
              <w:top w:val="nil"/>
              <w:left w:val="nil"/>
              <w:bottom w:val="single" w:color="000000" w:sz="8" w:space="0"/>
              <w:right w:val="single" w:color="000000" w:sz="8" w:space="0"/>
            </w:tcBorders>
            <w:shd w:val="clear" w:color="auto" w:fill="FFFFFF"/>
            <w:vAlign w:val="center"/>
          </w:tcPr>
          <w:p w14:paraId="66930E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14:paraId="71B9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71F0EA88">
            <w:pPr>
              <w:jc w:val="center"/>
              <w:rPr>
                <w:rFonts w:hint="eastAsia" w:ascii="宋体" w:hAnsi="宋体" w:eastAsia="宋体" w:cs="宋体"/>
                <w:b/>
                <w:bCs/>
                <w:i w:val="0"/>
                <w:iCs w:val="0"/>
                <w:color w:val="000000"/>
                <w:sz w:val="20"/>
                <w:szCs w:val="20"/>
                <w:u w:val="none"/>
              </w:rPr>
            </w:pPr>
          </w:p>
        </w:tc>
        <w:tc>
          <w:tcPr>
            <w:tcW w:w="417" w:type="dxa"/>
            <w:vMerge w:val="continue"/>
            <w:tcBorders>
              <w:left w:val="nil"/>
              <w:right w:val="single" w:color="000000" w:sz="8" w:space="0"/>
            </w:tcBorders>
            <w:shd w:val="clear" w:color="auto" w:fill="FFFFFF"/>
            <w:vAlign w:val="center"/>
          </w:tcPr>
          <w:p w14:paraId="085F2150">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0BBD5353">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11</w:t>
            </w:r>
          </w:p>
        </w:tc>
        <w:tc>
          <w:tcPr>
            <w:tcW w:w="6967" w:type="dxa"/>
            <w:tcBorders>
              <w:top w:val="nil"/>
              <w:left w:val="nil"/>
              <w:bottom w:val="single" w:color="000000" w:sz="8" w:space="0"/>
              <w:right w:val="single" w:color="000000" w:sz="8" w:space="0"/>
            </w:tcBorders>
            <w:shd w:val="clear" w:color="auto" w:fill="FFFFFF"/>
            <w:vAlign w:val="center"/>
          </w:tcPr>
          <w:p w14:paraId="3CF30BB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将承包的工程转包</w:t>
            </w:r>
          </w:p>
        </w:tc>
        <w:tc>
          <w:tcPr>
            <w:tcW w:w="804" w:type="dxa"/>
            <w:tcBorders>
              <w:top w:val="nil"/>
              <w:left w:val="nil"/>
              <w:bottom w:val="single" w:color="000000" w:sz="8" w:space="0"/>
              <w:right w:val="single" w:color="000000" w:sz="8" w:space="0"/>
            </w:tcBorders>
            <w:shd w:val="clear" w:color="auto" w:fill="FFFFFF"/>
            <w:vAlign w:val="center"/>
          </w:tcPr>
          <w:p w14:paraId="07417A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2BC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7DF940B1">
            <w:pPr>
              <w:jc w:val="center"/>
              <w:rPr>
                <w:rFonts w:hint="eastAsia" w:ascii="宋体" w:hAnsi="宋体" w:eastAsia="宋体" w:cs="宋体"/>
                <w:b/>
                <w:bCs/>
                <w:i w:val="0"/>
                <w:iCs w:val="0"/>
                <w:color w:val="000000"/>
                <w:sz w:val="20"/>
                <w:szCs w:val="20"/>
                <w:u w:val="none"/>
              </w:rPr>
            </w:pPr>
          </w:p>
        </w:tc>
        <w:tc>
          <w:tcPr>
            <w:tcW w:w="417" w:type="dxa"/>
            <w:vMerge w:val="continue"/>
            <w:tcBorders>
              <w:left w:val="nil"/>
              <w:right w:val="single" w:color="000000" w:sz="8" w:space="0"/>
            </w:tcBorders>
            <w:shd w:val="clear" w:color="auto" w:fill="FFFFFF"/>
            <w:vAlign w:val="center"/>
          </w:tcPr>
          <w:p w14:paraId="0C0456A3">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7754DE39">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12</w:t>
            </w:r>
          </w:p>
        </w:tc>
        <w:tc>
          <w:tcPr>
            <w:tcW w:w="6967" w:type="dxa"/>
            <w:tcBorders>
              <w:top w:val="nil"/>
              <w:left w:val="nil"/>
              <w:bottom w:val="single" w:color="000000" w:sz="8" w:space="0"/>
              <w:right w:val="single" w:color="000000" w:sz="8" w:space="0"/>
            </w:tcBorders>
            <w:shd w:val="clear" w:color="auto" w:fill="FFFFFF"/>
            <w:vAlign w:val="center"/>
          </w:tcPr>
          <w:p w14:paraId="3936193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将承包的工程违法分包</w:t>
            </w:r>
          </w:p>
        </w:tc>
        <w:tc>
          <w:tcPr>
            <w:tcW w:w="804" w:type="dxa"/>
            <w:tcBorders>
              <w:top w:val="nil"/>
              <w:left w:val="nil"/>
              <w:bottom w:val="single" w:color="000000" w:sz="8" w:space="0"/>
              <w:right w:val="single" w:color="000000" w:sz="8" w:space="0"/>
            </w:tcBorders>
            <w:shd w:val="clear" w:color="auto" w:fill="FFFFFF"/>
            <w:vAlign w:val="center"/>
          </w:tcPr>
          <w:p w14:paraId="0F8AF5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3453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2C146BF5">
            <w:pPr>
              <w:jc w:val="center"/>
              <w:rPr>
                <w:rFonts w:hint="eastAsia" w:ascii="宋体" w:hAnsi="宋体" w:eastAsia="宋体" w:cs="宋体"/>
                <w:b/>
                <w:bCs/>
                <w:i w:val="0"/>
                <w:iCs w:val="0"/>
                <w:color w:val="000000"/>
                <w:sz w:val="20"/>
                <w:szCs w:val="20"/>
                <w:u w:val="none"/>
              </w:rPr>
            </w:pPr>
          </w:p>
        </w:tc>
        <w:tc>
          <w:tcPr>
            <w:tcW w:w="417" w:type="dxa"/>
            <w:vMerge w:val="continue"/>
            <w:tcBorders>
              <w:left w:val="nil"/>
              <w:right w:val="single" w:color="000000" w:sz="8" w:space="0"/>
            </w:tcBorders>
            <w:shd w:val="clear" w:color="auto" w:fill="FFFFFF"/>
            <w:vAlign w:val="center"/>
          </w:tcPr>
          <w:p w14:paraId="7FBCD2B5">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51416A3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13</w:t>
            </w:r>
          </w:p>
        </w:tc>
        <w:tc>
          <w:tcPr>
            <w:tcW w:w="6967" w:type="dxa"/>
            <w:tcBorders>
              <w:top w:val="nil"/>
              <w:left w:val="nil"/>
              <w:bottom w:val="single" w:color="000000" w:sz="8" w:space="0"/>
              <w:right w:val="single" w:color="000000" w:sz="8" w:space="0"/>
            </w:tcBorders>
            <w:shd w:val="clear" w:color="auto" w:fill="FFFFFF"/>
            <w:vAlign w:val="center"/>
          </w:tcPr>
          <w:p w14:paraId="15F6A82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未办理施工许可证，擅自施工</w:t>
            </w:r>
          </w:p>
        </w:tc>
        <w:tc>
          <w:tcPr>
            <w:tcW w:w="804" w:type="dxa"/>
            <w:tcBorders>
              <w:top w:val="nil"/>
              <w:left w:val="nil"/>
              <w:bottom w:val="single" w:color="000000" w:sz="8" w:space="0"/>
              <w:right w:val="single" w:color="000000" w:sz="8" w:space="0"/>
            </w:tcBorders>
            <w:shd w:val="clear" w:color="auto" w:fill="FFFFFF"/>
            <w:vAlign w:val="center"/>
          </w:tcPr>
          <w:p w14:paraId="270406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14D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131BC1B1">
            <w:pPr>
              <w:jc w:val="center"/>
              <w:rPr>
                <w:rFonts w:hint="eastAsia" w:ascii="宋体" w:hAnsi="宋体" w:eastAsia="宋体" w:cs="宋体"/>
                <w:b/>
                <w:bCs/>
                <w:i w:val="0"/>
                <w:iCs w:val="0"/>
                <w:color w:val="000000"/>
                <w:sz w:val="20"/>
                <w:szCs w:val="20"/>
                <w:u w:val="none"/>
              </w:rPr>
            </w:pPr>
          </w:p>
        </w:tc>
        <w:tc>
          <w:tcPr>
            <w:tcW w:w="417" w:type="dxa"/>
            <w:vMerge w:val="continue"/>
            <w:tcBorders>
              <w:left w:val="nil"/>
              <w:right w:val="single" w:color="000000" w:sz="8" w:space="0"/>
            </w:tcBorders>
            <w:shd w:val="clear" w:color="auto" w:fill="FFFFFF"/>
            <w:vAlign w:val="center"/>
          </w:tcPr>
          <w:p w14:paraId="36002009">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3EE875C9">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14</w:t>
            </w:r>
          </w:p>
        </w:tc>
        <w:tc>
          <w:tcPr>
            <w:tcW w:w="6967" w:type="dxa"/>
            <w:tcBorders>
              <w:top w:val="nil"/>
              <w:left w:val="nil"/>
              <w:bottom w:val="single" w:color="000000" w:sz="8" w:space="0"/>
              <w:right w:val="single" w:color="000000" w:sz="8" w:space="0"/>
            </w:tcBorders>
            <w:shd w:val="clear" w:color="auto" w:fill="FFFFFF"/>
            <w:vAlign w:val="center"/>
          </w:tcPr>
          <w:p w14:paraId="6040B6F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标后履约不达标，情节严重</w:t>
            </w:r>
          </w:p>
        </w:tc>
        <w:tc>
          <w:tcPr>
            <w:tcW w:w="804" w:type="dxa"/>
            <w:tcBorders>
              <w:top w:val="nil"/>
              <w:left w:val="nil"/>
              <w:bottom w:val="single" w:color="000000" w:sz="8" w:space="0"/>
              <w:right w:val="single" w:color="000000" w:sz="8" w:space="0"/>
            </w:tcBorders>
            <w:shd w:val="clear" w:color="auto" w:fill="FFFFFF"/>
            <w:vAlign w:val="center"/>
          </w:tcPr>
          <w:p w14:paraId="6601AB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08C2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7" w:type="dxa"/>
            <w:vMerge w:val="continue"/>
            <w:tcBorders>
              <w:left w:val="single" w:color="000000" w:sz="8" w:space="0"/>
              <w:right w:val="single" w:color="000000" w:sz="8" w:space="0"/>
            </w:tcBorders>
            <w:shd w:val="clear" w:color="auto" w:fill="FFFFFF"/>
            <w:vAlign w:val="center"/>
          </w:tcPr>
          <w:p w14:paraId="7F60FE80">
            <w:pPr>
              <w:jc w:val="center"/>
              <w:rPr>
                <w:rFonts w:hint="eastAsia" w:ascii="宋体" w:hAnsi="宋体" w:eastAsia="宋体" w:cs="宋体"/>
                <w:b/>
                <w:bCs/>
                <w:i w:val="0"/>
                <w:iCs w:val="0"/>
                <w:color w:val="000000"/>
                <w:sz w:val="20"/>
                <w:szCs w:val="20"/>
                <w:u w:val="none"/>
              </w:rPr>
            </w:pPr>
          </w:p>
        </w:tc>
        <w:tc>
          <w:tcPr>
            <w:tcW w:w="417" w:type="dxa"/>
            <w:vMerge w:val="continue"/>
            <w:tcBorders>
              <w:left w:val="nil"/>
              <w:right w:val="single" w:color="000000" w:sz="8" w:space="0"/>
            </w:tcBorders>
            <w:shd w:val="clear" w:color="auto" w:fill="FFFFFF"/>
            <w:vAlign w:val="center"/>
          </w:tcPr>
          <w:p w14:paraId="0ACEB0E8">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6005E7D9">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15</w:t>
            </w:r>
          </w:p>
        </w:tc>
        <w:tc>
          <w:tcPr>
            <w:tcW w:w="6967" w:type="dxa"/>
            <w:tcBorders>
              <w:top w:val="nil"/>
              <w:left w:val="nil"/>
              <w:bottom w:val="single" w:color="000000" w:sz="8" w:space="0"/>
              <w:right w:val="single" w:color="000000" w:sz="8" w:space="0"/>
            </w:tcBorders>
            <w:shd w:val="clear" w:color="auto" w:fill="FFFFFF"/>
            <w:vAlign w:val="center"/>
          </w:tcPr>
          <w:p w14:paraId="6A7EEFE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未履行投标承诺，关键岗位人员变更2次以上（含2次）或更换比人员比例高于50%</w:t>
            </w:r>
          </w:p>
        </w:tc>
        <w:tc>
          <w:tcPr>
            <w:tcW w:w="804" w:type="dxa"/>
            <w:tcBorders>
              <w:top w:val="nil"/>
              <w:left w:val="nil"/>
              <w:bottom w:val="single" w:color="000000" w:sz="8" w:space="0"/>
              <w:right w:val="single" w:color="000000" w:sz="8" w:space="0"/>
            </w:tcBorders>
            <w:shd w:val="clear" w:color="auto" w:fill="FFFFFF"/>
            <w:vAlign w:val="center"/>
          </w:tcPr>
          <w:p w14:paraId="67DFB4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14:paraId="6E48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left w:val="single" w:color="000000" w:sz="8" w:space="0"/>
              <w:bottom w:val="single" w:color="000000" w:sz="8" w:space="0"/>
              <w:right w:val="single" w:color="000000" w:sz="8" w:space="0"/>
            </w:tcBorders>
            <w:shd w:val="clear" w:color="auto" w:fill="FFFFFF"/>
            <w:vAlign w:val="center"/>
          </w:tcPr>
          <w:p w14:paraId="0DAFC78A">
            <w:pPr>
              <w:jc w:val="center"/>
              <w:rPr>
                <w:rFonts w:hint="eastAsia" w:ascii="宋体" w:hAnsi="宋体" w:eastAsia="宋体" w:cs="宋体"/>
                <w:b/>
                <w:bCs/>
                <w:i w:val="0"/>
                <w:iCs w:val="0"/>
                <w:color w:val="000000"/>
                <w:sz w:val="20"/>
                <w:szCs w:val="20"/>
                <w:u w:val="none"/>
              </w:rPr>
            </w:pPr>
          </w:p>
        </w:tc>
        <w:tc>
          <w:tcPr>
            <w:tcW w:w="417" w:type="dxa"/>
            <w:vMerge w:val="continue"/>
            <w:tcBorders>
              <w:left w:val="nil"/>
              <w:bottom w:val="single" w:color="000000" w:sz="8" w:space="0"/>
              <w:right w:val="single" w:color="000000" w:sz="8" w:space="0"/>
            </w:tcBorders>
            <w:shd w:val="clear" w:color="auto" w:fill="FFFFFF"/>
            <w:vAlign w:val="center"/>
          </w:tcPr>
          <w:p w14:paraId="1CAF4781">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057A09C2">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w:t>
            </w:r>
          </w:p>
        </w:tc>
        <w:tc>
          <w:tcPr>
            <w:tcW w:w="6967" w:type="dxa"/>
            <w:tcBorders>
              <w:top w:val="nil"/>
              <w:left w:val="nil"/>
              <w:bottom w:val="single" w:color="000000" w:sz="8" w:space="0"/>
              <w:right w:val="single" w:color="000000" w:sz="8" w:space="0"/>
            </w:tcBorders>
            <w:shd w:val="clear" w:color="auto" w:fill="FFFFFF"/>
            <w:vAlign w:val="center"/>
          </w:tcPr>
          <w:p w14:paraId="00C8C34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违规使用“挂证”人员</w:t>
            </w:r>
          </w:p>
        </w:tc>
        <w:tc>
          <w:tcPr>
            <w:tcW w:w="804" w:type="dxa"/>
            <w:tcBorders>
              <w:top w:val="nil"/>
              <w:left w:val="nil"/>
              <w:bottom w:val="single" w:color="000000" w:sz="8" w:space="0"/>
              <w:right w:val="single" w:color="000000" w:sz="8" w:space="0"/>
            </w:tcBorders>
            <w:shd w:val="clear" w:color="auto" w:fill="FFFFFF"/>
            <w:vAlign w:val="center"/>
          </w:tcPr>
          <w:p w14:paraId="16DA0E6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5</w:t>
            </w:r>
          </w:p>
        </w:tc>
      </w:tr>
      <w:tr w14:paraId="54AD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restart"/>
            <w:tcBorders>
              <w:top w:val="nil"/>
              <w:left w:val="single" w:color="000000" w:sz="8" w:space="0"/>
              <w:bottom w:val="single" w:color="000000" w:sz="8" w:space="0"/>
              <w:right w:val="single" w:color="000000" w:sz="8" w:space="0"/>
            </w:tcBorders>
            <w:shd w:val="clear" w:color="auto" w:fill="FFFFFF"/>
            <w:vAlign w:val="center"/>
          </w:tcPr>
          <w:p w14:paraId="7573C0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不良</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417" w:type="dxa"/>
            <w:vMerge w:val="restart"/>
            <w:tcBorders>
              <w:top w:val="single" w:color="000000" w:sz="8" w:space="0"/>
              <w:left w:val="nil"/>
              <w:bottom w:val="single" w:color="000000" w:sz="8" w:space="0"/>
              <w:right w:val="single" w:color="000000" w:sz="8" w:space="0"/>
            </w:tcBorders>
            <w:shd w:val="clear" w:color="auto" w:fill="FFFFFF"/>
            <w:vAlign w:val="center"/>
          </w:tcPr>
          <w:p w14:paraId="627C01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质量安全及文明施工</w:t>
            </w:r>
          </w:p>
        </w:tc>
        <w:tc>
          <w:tcPr>
            <w:tcW w:w="525" w:type="dxa"/>
            <w:tcBorders>
              <w:top w:val="single" w:color="000000" w:sz="8" w:space="0"/>
              <w:left w:val="nil"/>
              <w:bottom w:val="single" w:color="000000" w:sz="8" w:space="0"/>
              <w:right w:val="single" w:color="000000" w:sz="8" w:space="0"/>
            </w:tcBorders>
            <w:shd w:val="clear" w:color="auto" w:fill="FFFFFF"/>
            <w:vAlign w:val="center"/>
          </w:tcPr>
          <w:p w14:paraId="59156882">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17</w:t>
            </w:r>
          </w:p>
        </w:tc>
        <w:tc>
          <w:tcPr>
            <w:tcW w:w="6967" w:type="dxa"/>
            <w:tcBorders>
              <w:top w:val="single" w:color="000000" w:sz="8" w:space="0"/>
              <w:left w:val="nil"/>
              <w:bottom w:val="single" w:color="000000" w:sz="8" w:space="0"/>
              <w:right w:val="single" w:color="000000" w:sz="8" w:space="0"/>
            </w:tcBorders>
            <w:shd w:val="clear" w:color="auto" w:fill="FFFFFF"/>
            <w:vAlign w:val="center"/>
          </w:tcPr>
          <w:p w14:paraId="5AC8FB6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县级建设行政主管部门检查通报或者纳入黑榜</w:t>
            </w:r>
          </w:p>
        </w:tc>
        <w:tc>
          <w:tcPr>
            <w:tcW w:w="804" w:type="dxa"/>
            <w:tcBorders>
              <w:top w:val="single" w:color="000000" w:sz="8" w:space="0"/>
              <w:left w:val="nil"/>
              <w:bottom w:val="single" w:color="000000" w:sz="8" w:space="0"/>
              <w:right w:val="single" w:color="000000" w:sz="8" w:space="0"/>
            </w:tcBorders>
            <w:shd w:val="clear" w:color="auto" w:fill="FFFFFF"/>
            <w:vAlign w:val="center"/>
          </w:tcPr>
          <w:p w14:paraId="3B3204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1BF3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4D6EEAE6">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37FFAA10">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1C39A462">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18</w:t>
            </w:r>
          </w:p>
        </w:tc>
        <w:tc>
          <w:tcPr>
            <w:tcW w:w="6967" w:type="dxa"/>
            <w:tcBorders>
              <w:top w:val="nil"/>
              <w:left w:val="nil"/>
              <w:bottom w:val="single" w:color="000000" w:sz="8" w:space="0"/>
              <w:right w:val="single" w:color="000000" w:sz="8" w:space="0"/>
            </w:tcBorders>
            <w:shd w:val="clear" w:color="auto" w:fill="FFFFFF"/>
            <w:vAlign w:val="center"/>
          </w:tcPr>
          <w:p w14:paraId="1D57FCC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市级建设行政主管部门检查通报或纳入黑榜</w:t>
            </w:r>
          </w:p>
        </w:tc>
        <w:tc>
          <w:tcPr>
            <w:tcW w:w="804" w:type="dxa"/>
            <w:tcBorders>
              <w:top w:val="nil"/>
              <w:left w:val="nil"/>
              <w:bottom w:val="single" w:color="000000" w:sz="8" w:space="0"/>
              <w:right w:val="single" w:color="000000" w:sz="8" w:space="0"/>
            </w:tcBorders>
            <w:shd w:val="clear" w:color="auto" w:fill="FFFFFF"/>
            <w:vAlign w:val="center"/>
          </w:tcPr>
          <w:p w14:paraId="5C6CC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14:paraId="08A6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73A633AB">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79F84EFC">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2A6C1660">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19</w:t>
            </w:r>
          </w:p>
        </w:tc>
        <w:tc>
          <w:tcPr>
            <w:tcW w:w="6967" w:type="dxa"/>
            <w:tcBorders>
              <w:top w:val="nil"/>
              <w:left w:val="nil"/>
              <w:bottom w:val="single" w:color="000000" w:sz="8" w:space="0"/>
              <w:right w:val="single" w:color="000000" w:sz="8" w:space="0"/>
            </w:tcBorders>
            <w:shd w:val="clear" w:color="auto" w:fill="FFFFFF"/>
            <w:vAlign w:val="center"/>
          </w:tcPr>
          <w:p w14:paraId="5BAE46D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省级建设行政主管部门检查通报或纳入黑榜</w:t>
            </w:r>
          </w:p>
        </w:tc>
        <w:tc>
          <w:tcPr>
            <w:tcW w:w="804" w:type="dxa"/>
            <w:tcBorders>
              <w:top w:val="nil"/>
              <w:left w:val="nil"/>
              <w:bottom w:val="single" w:color="000000" w:sz="8" w:space="0"/>
              <w:right w:val="single" w:color="000000" w:sz="8" w:space="0"/>
            </w:tcBorders>
            <w:shd w:val="clear" w:color="auto" w:fill="FFFFFF"/>
            <w:vAlign w:val="center"/>
          </w:tcPr>
          <w:p w14:paraId="306E01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6624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1396EBAA">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3982CAA9">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10668ABF">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w:t>
            </w:r>
          </w:p>
        </w:tc>
        <w:tc>
          <w:tcPr>
            <w:tcW w:w="6967" w:type="dxa"/>
            <w:tcBorders>
              <w:top w:val="nil"/>
              <w:left w:val="nil"/>
              <w:bottom w:val="single" w:color="000000" w:sz="8" w:space="0"/>
              <w:right w:val="single" w:color="000000" w:sz="8" w:space="0"/>
            </w:tcBorders>
            <w:shd w:val="clear" w:color="auto" w:fill="FFFFFF"/>
            <w:vAlign w:val="center"/>
          </w:tcPr>
          <w:p w14:paraId="34CC165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违反《建筑法》《建设工程质量管理条例》《建设工程安全生产管理条例》《消防法》，及时纠正，未造成质量安全事故或者其他严重后果</w:t>
            </w:r>
          </w:p>
        </w:tc>
        <w:tc>
          <w:tcPr>
            <w:tcW w:w="804" w:type="dxa"/>
            <w:tcBorders>
              <w:top w:val="nil"/>
              <w:left w:val="nil"/>
              <w:bottom w:val="single" w:color="000000" w:sz="8" w:space="0"/>
              <w:right w:val="single" w:color="000000" w:sz="8" w:space="0"/>
            </w:tcBorders>
            <w:shd w:val="clear" w:color="auto" w:fill="FFFFFF"/>
            <w:vAlign w:val="center"/>
          </w:tcPr>
          <w:p w14:paraId="7C185F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7EE9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53DC1BC9">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2045FB9D">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36EB0FE3">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21</w:t>
            </w:r>
          </w:p>
        </w:tc>
        <w:tc>
          <w:tcPr>
            <w:tcW w:w="6967" w:type="dxa"/>
            <w:tcBorders>
              <w:top w:val="nil"/>
              <w:left w:val="nil"/>
              <w:bottom w:val="single" w:color="000000" w:sz="8" w:space="0"/>
              <w:right w:val="single" w:color="000000" w:sz="8" w:space="0"/>
            </w:tcBorders>
            <w:shd w:val="clear" w:color="auto" w:fill="FFFFFF"/>
            <w:vAlign w:val="center"/>
          </w:tcPr>
          <w:p w14:paraId="6CC64E3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项目经理设置不符合规定，或同时承接两个及以上项目或者现场项目经理与备案项目经理不一致</w:t>
            </w:r>
          </w:p>
        </w:tc>
        <w:tc>
          <w:tcPr>
            <w:tcW w:w="804" w:type="dxa"/>
            <w:tcBorders>
              <w:top w:val="nil"/>
              <w:left w:val="nil"/>
              <w:bottom w:val="single" w:color="000000" w:sz="8" w:space="0"/>
              <w:right w:val="single" w:color="000000" w:sz="8" w:space="0"/>
            </w:tcBorders>
            <w:shd w:val="clear" w:color="auto" w:fill="FFFFFF"/>
            <w:vAlign w:val="center"/>
          </w:tcPr>
          <w:p w14:paraId="63989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4046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186F766A">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1343F241">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279BAA12">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22</w:t>
            </w:r>
          </w:p>
        </w:tc>
        <w:tc>
          <w:tcPr>
            <w:tcW w:w="6967" w:type="dxa"/>
            <w:tcBorders>
              <w:top w:val="nil"/>
              <w:left w:val="nil"/>
              <w:bottom w:val="single" w:color="000000" w:sz="8" w:space="0"/>
              <w:right w:val="single" w:color="000000" w:sz="8" w:space="0"/>
            </w:tcBorders>
            <w:shd w:val="clear" w:color="auto" w:fill="FFFFFF"/>
            <w:vAlign w:val="center"/>
          </w:tcPr>
          <w:p w14:paraId="48D750F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项目经理出勤率未达到规定要求，履职不到位，对项目未实施有效管理</w:t>
            </w:r>
          </w:p>
        </w:tc>
        <w:tc>
          <w:tcPr>
            <w:tcW w:w="804" w:type="dxa"/>
            <w:tcBorders>
              <w:top w:val="nil"/>
              <w:left w:val="nil"/>
              <w:bottom w:val="single" w:color="000000" w:sz="8" w:space="0"/>
              <w:right w:val="single" w:color="000000" w:sz="8" w:space="0"/>
            </w:tcBorders>
            <w:shd w:val="clear" w:color="auto" w:fill="FFFFFF"/>
            <w:vAlign w:val="center"/>
          </w:tcPr>
          <w:p w14:paraId="348772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524F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4E353B1F">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40699082">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00DB4FC2">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23</w:t>
            </w:r>
          </w:p>
        </w:tc>
        <w:tc>
          <w:tcPr>
            <w:tcW w:w="6967" w:type="dxa"/>
            <w:tcBorders>
              <w:top w:val="nil"/>
              <w:left w:val="nil"/>
              <w:bottom w:val="single" w:color="000000" w:sz="8" w:space="0"/>
              <w:right w:val="single" w:color="000000" w:sz="8" w:space="0"/>
            </w:tcBorders>
            <w:shd w:val="clear" w:color="auto" w:fill="FFFFFF"/>
            <w:vAlign w:val="center"/>
          </w:tcPr>
          <w:p w14:paraId="600BF4D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特殊建设工程未经依法消防设计审查或者审查不合格，擅自施工</w:t>
            </w:r>
          </w:p>
        </w:tc>
        <w:tc>
          <w:tcPr>
            <w:tcW w:w="804" w:type="dxa"/>
            <w:tcBorders>
              <w:top w:val="nil"/>
              <w:left w:val="nil"/>
              <w:bottom w:val="single" w:color="000000" w:sz="8" w:space="0"/>
              <w:right w:val="single" w:color="000000" w:sz="8" w:space="0"/>
            </w:tcBorders>
            <w:shd w:val="clear" w:color="auto" w:fill="FFFFFF"/>
            <w:vAlign w:val="center"/>
          </w:tcPr>
          <w:p w14:paraId="5B400B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529B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0A37ACC0">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312E2DE5">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0CAFD074">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24</w:t>
            </w:r>
          </w:p>
        </w:tc>
        <w:tc>
          <w:tcPr>
            <w:tcW w:w="6967" w:type="dxa"/>
            <w:tcBorders>
              <w:top w:val="nil"/>
              <w:left w:val="nil"/>
              <w:bottom w:val="single" w:color="000000" w:sz="8" w:space="0"/>
              <w:right w:val="single" w:color="000000" w:sz="8" w:space="0"/>
            </w:tcBorders>
            <w:shd w:val="clear" w:color="auto" w:fill="FFFFFF"/>
            <w:vAlign w:val="center"/>
          </w:tcPr>
          <w:p w14:paraId="037F5AB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危大工程未进行验收或超过一定规模的危大工程未进行专家论证</w:t>
            </w:r>
          </w:p>
        </w:tc>
        <w:tc>
          <w:tcPr>
            <w:tcW w:w="804" w:type="dxa"/>
            <w:tcBorders>
              <w:top w:val="nil"/>
              <w:left w:val="nil"/>
              <w:bottom w:val="single" w:color="000000" w:sz="8" w:space="0"/>
              <w:right w:val="single" w:color="000000" w:sz="8" w:space="0"/>
            </w:tcBorders>
            <w:shd w:val="clear" w:color="auto" w:fill="FFFFFF"/>
            <w:vAlign w:val="center"/>
          </w:tcPr>
          <w:p w14:paraId="705739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7094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11FB1797">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26F970A7">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77762AFC">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25</w:t>
            </w:r>
          </w:p>
        </w:tc>
        <w:tc>
          <w:tcPr>
            <w:tcW w:w="6967" w:type="dxa"/>
            <w:tcBorders>
              <w:top w:val="nil"/>
              <w:left w:val="nil"/>
              <w:bottom w:val="single" w:color="000000" w:sz="8" w:space="0"/>
              <w:right w:val="single" w:color="000000" w:sz="8" w:space="0"/>
            </w:tcBorders>
            <w:shd w:val="clear" w:color="auto" w:fill="FFFFFF"/>
            <w:vAlign w:val="center"/>
          </w:tcPr>
          <w:p w14:paraId="0E7091E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发生一般质量或安全事故，暂扣安全生产许可证</w:t>
            </w:r>
          </w:p>
        </w:tc>
        <w:tc>
          <w:tcPr>
            <w:tcW w:w="804" w:type="dxa"/>
            <w:tcBorders>
              <w:top w:val="nil"/>
              <w:left w:val="nil"/>
              <w:bottom w:val="single" w:color="000000" w:sz="8" w:space="0"/>
              <w:right w:val="single" w:color="000000" w:sz="8" w:space="0"/>
            </w:tcBorders>
            <w:shd w:val="clear" w:color="auto" w:fill="FFFFFF"/>
            <w:vAlign w:val="center"/>
          </w:tcPr>
          <w:p w14:paraId="6BBA32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14:paraId="2154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26B34F84">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4E9BA5E1">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20410482">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26</w:t>
            </w:r>
          </w:p>
        </w:tc>
        <w:tc>
          <w:tcPr>
            <w:tcW w:w="6967" w:type="dxa"/>
            <w:tcBorders>
              <w:top w:val="nil"/>
              <w:left w:val="nil"/>
              <w:bottom w:val="single" w:color="000000" w:sz="8" w:space="0"/>
              <w:right w:val="single" w:color="000000" w:sz="8" w:space="0"/>
            </w:tcBorders>
            <w:shd w:val="clear" w:color="auto" w:fill="FFFFFF"/>
            <w:vAlign w:val="center"/>
          </w:tcPr>
          <w:p w14:paraId="24C4D80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对发生质量或安全事故隐瞒不报、谎报或者拖延报告期限</w:t>
            </w:r>
          </w:p>
        </w:tc>
        <w:tc>
          <w:tcPr>
            <w:tcW w:w="804" w:type="dxa"/>
            <w:tcBorders>
              <w:top w:val="nil"/>
              <w:left w:val="nil"/>
              <w:bottom w:val="single" w:color="000000" w:sz="8" w:space="0"/>
              <w:right w:val="single" w:color="000000" w:sz="8" w:space="0"/>
            </w:tcBorders>
            <w:shd w:val="clear" w:color="auto" w:fill="FFFFFF"/>
            <w:vAlign w:val="center"/>
          </w:tcPr>
          <w:p w14:paraId="59BE73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14:paraId="4785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2A75F2C8">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2E56F63B">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490F7972">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27</w:t>
            </w:r>
          </w:p>
        </w:tc>
        <w:tc>
          <w:tcPr>
            <w:tcW w:w="6967" w:type="dxa"/>
            <w:tcBorders>
              <w:top w:val="nil"/>
              <w:left w:val="nil"/>
              <w:bottom w:val="single" w:color="000000" w:sz="8" w:space="0"/>
              <w:right w:val="single" w:color="000000" w:sz="8" w:space="0"/>
            </w:tcBorders>
            <w:shd w:val="clear" w:color="auto" w:fill="FFFFFF"/>
            <w:vAlign w:val="center"/>
          </w:tcPr>
          <w:p w14:paraId="3F7FB6E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发生较大及以上质量或安全事故，或12个月内发生两起及以上一般质量或安全事故</w:t>
            </w:r>
          </w:p>
        </w:tc>
        <w:tc>
          <w:tcPr>
            <w:tcW w:w="804" w:type="dxa"/>
            <w:tcBorders>
              <w:top w:val="nil"/>
              <w:left w:val="nil"/>
              <w:bottom w:val="single" w:color="000000" w:sz="8" w:space="0"/>
              <w:right w:val="single" w:color="000000" w:sz="8" w:space="0"/>
            </w:tcBorders>
            <w:shd w:val="clear" w:color="auto" w:fill="FFFFFF"/>
            <w:vAlign w:val="center"/>
          </w:tcPr>
          <w:p w14:paraId="3E1F35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14:paraId="2000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62096E62">
            <w:pPr>
              <w:jc w:val="center"/>
              <w:rPr>
                <w:rFonts w:hint="eastAsia" w:ascii="宋体" w:hAnsi="宋体" w:eastAsia="宋体" w:cs="宋体"/>
                <w:b/>
                <w:bCs/>
                <w:i w:val="0"/>
                <w:iCs w:val="0"/>
                <w:color w:val="000000"/>
                <w:sz w:val="20"/>
                <w:szCs w:val="20"/>
                <w:u w:val="none"/>
              </w:rPr>
            </w:pPr>
          </w:p>
        </w:tc>
        <w:tc>
          <w:tcPr>
            <w:tcW w:w="417" w:type="dxa"/>
            <w:vMerge w:val="restart"/>
            <w:tcBorders>
              <w:top w:val="single" w:color="000000" w:sz="8" w:space="0"/>
              <w:left w:val="nil"/>
              <w:bottom w:val="single" w:color="000000" w:sz="8" w:space="0"/>
              <w:right w:val="single" w:color="000000" w:sz="8" w:space="0"/>
            </w:tcBorders>
            <w:shd w:val="clear" w:color="auto" w:fill="FFFFFF"/>
            <w:vAlign w:val="center"/>
          </w:tcPr>
          <w:p w14:paraId="5724D2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劳动保障</w:t>
            </w:r>
          </w:p>
        </w:tc>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466FED">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28</w:t>
            </w:r>
          </w:p>
        </w:tc>
        <w:tc>
          <w:tcPr>
            <w:tcW w:w="6967" w:type="dxa"/>
            <w:tcBorders>
              <w:top w:val="single" w:color="000000" w:sz="8" w:space="0"/>
              <w:left w:val="nil"/>
              <w:bottom w:val="single" w:color="000000" w:sz="8" w:space="0"/>
              <w:right w:val="single" w:color="000000" w:sz="8" w:space="0"/>
            </w:tcBorders>
            <w:shd w:val="clear" w:color="auto" w:fill="FFFFFF"/>
            <w:vAlign w:val="center"/>
          </w:tcPr>
          <w:p w14:paraId="29ACB7A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以实物或者有价证券等其他形式替代工资支付</w:t>
            </w:r>
          </w:p>
        </w:tc>
        <w:tc>
          <w:tcPr>
            <w:tcW w:w="804" w:type="dxa"/>
            <w:tcBorders>
              <w:top w:val="single" w:color="000000" w:sz="8" w:space="0"/>
              <w:left w:val="nil"/>
              <w:bottom w:val="single" w:color="000000" w:sz="8" w:space="0"/>
              <w:right w:val="single" w:color="000000" w:sz="8" w:space="0"/>
            </w:tcBorders>
            <w:shd w:val="clear" w:color="auto" w:fill="FFFFFF"/>
            <w:vAlign w:val="center"/>
          </w:tcPr>
          <w:p w14:paraId="7F568B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2F17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047253F6">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13F074F7">
            <w:pPr>
              <w:jc w:val="center"/>
              <w:rPr>
                <w:rFonts w:hint="eastAsia" w:ascii="宋体" w:hAnsi="宋体" w:eastAsia="宋体" w:cs="宋体"/>
                <w:b/>
                <w:bCs/>
                <w:i w:val="0"/>
                <w:iCs w:val="0"/>
                <w:color w:val="000000"/>
                <w:sz w:val="20"/>
                <w:szCs w:val="20"/>
                <w:u w:val="none"/>
              </w:rPr>
            </w:pPr>
          </w:p>
        </w:tc>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074EF4">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29</w:t>
            </w:r>
          </w:p>
        </w:tc>
        <w:tc>
          <w:tcPr>
            <w:tcW w:w="6967" w:type="dxa"/>
            <w:tcBorders>
              <w:top w:val="single" w:color="000000" w:sz="8" w:space="0"/>
              <w:left w:val="nil"/>
              <w:bottom w:val="single" w:color="000000" w:sz="8" w:space="0"/>
              <w:right w:val="single" w:color="000000" w:sz="8" w:space="0"/>
            </w:tcBorders>
            <w:shd w:val="clear" w:color="auto" w:fill="FFFFFF"/>
            <w:vAlign w:val="center"/>
          </w:tcPr>
          <w:p w14:paraId="0A3B136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因施工单位原因，未按规定开设农民工工资专用账户</w:t>
            </w:r>
          </w:p>
        </w:tc>
        <w:tc>
          <w:tcPr>
            <w:tcW w:w="804" w:type="dxa"/>
            <w:tcBorders>
              <w:top w:val="single" w:color="000000" w:sz="8" w:space="0"/>
              <w:left w:val="nil"/>
              <w:bottom w:val="single" w:color="000000" w:sz="8" w:space="0"/>
              <w:right w:val="single" w:color="000000" w:sz="8" w:space="0"/>
            </w:tcBorders>
            <w:shd w:val="clear" w:color="auto" w:fill="FFFFFF"/>
            <w:vAlign w:val="center"/>
          </w:tcPr>
          <w:p w14:paraId="01DEE9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0258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6AEA78CE">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1CF11E2F">
            <w:pPr>
              <w:jc w:val="center"/>
              <w:rPr>
                <w:rFonts w:hint="eastAsia" w:ascii="宋体" w:hAnsi="宋体" w:eastAsia="宋体" w:cs="宋体"/>
                <w:b/>
                <w:bCs/>
                <w:i w:val="0"/>
                <w:iCs w:val="0"/>
                <w:color w:val="000000"/>
                <w:sz w:val="20"/>
                <w:szCs w:val="20"/>
                <w:u w:val="none"/>
              </w:rPr>
            </w:pPr>
          </w:p>
        </w:tc>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2B7CCE">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30</w:t>
            </w:r>
          </w:p>
        </w:tc>
        <w:tc>
          <w:tcPr>
            <w:tcW w:w="6967" w:type="dxa"/>
            <w:tcBorders>
              <w:top w:val="single" w:color="000000" w:sz="8" w:space="0"/>
              <w:left w:val="nil"/>
              <w:bottom w:val="single" w:color="000000" w:sz="8" w:space="0"/>
              <w:right w:val="single" w:color="000000" w:sz="8" w:space="0"/>
            </w:tcBorders>
            <w:shd w:val="clear" w:color="auto" w:fill="FFFFFF"/>
            <w:vAlign w:val="center"/>
          </w:tcPr>
          <w:p w14:paraId="0D13F7B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将农民工工资支付给不具备用工主体资格的单位或个人，未按规定发放到农民工本人、造成欠薪</w:t>
            </w:r>
          </w:p>
        </w:tc>
        <w:tc>
          <w:tcPr>
            <w:tcW w:w="804" w:type="dxa"/>
            <w:tcBorders>
              <w:top w:val="single" w:color="000000" w:sz="8" w:space="0"/>
              <w:left w:val="nil"/>
              <w:bottom w:val="single" w:color="000000" w:sz="8" w:space="0"/>
              <w:right w:val="single" w:color="000000" w:sz="8" w:space="0"/>
            </w:tcBorders>
            <w:shd w:val="clear" w:color="auto" w:fill="FFFFFF"/>
            <w:vAlign w:val="center"/>
          </w:tcPr>
          <w:p w14:paraId="75C001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7423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04EFA367">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723C47D8">
            <w:pPr>
              <w:jc w:val="center"/>
              <w:rPr>
                <w:rFonts w:hint="eastAsia" w:ascii="宋体" w:hAnsi="宋体" w:eastAsia="宋体" w:cs="宋体"/>
                <w:b/>
                <w:bCs/>
                <w:i w:val="0"/>
                <w:iCs w:val="0"/>
                <w:color w:val="000000"/>
                <w:sz w:val="20"/>
                <w:szCs w:val="20"/>
                <w:u w:val="none"/>
              </w:rPr>
            </w:pPr>
          </w:p>
        </w:tc>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A49CD1">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31</w:t>
            </w:r>
          </w:p>
        </w:tc>
        <w:tc>
          <w:tcPr>
            <w:tcW w:w="6967" w:type="dxa"/>
            <w:tcBorders>
              <w:top w:val="single" w:color="000000" w:sz="8" w:space="0"/>
              <w:left w:val="nil"/>
              <w:bottom w:val="single" w:color="000000" w:sz="8" w:space="0"/>
              <w:right w:val="single" w:color="000000" w:sz="4" w:space="0"/>
            </w:tcBorders>
            <w:shd w:val="clear" w:color="auto" w:fill="FFFFFF"/>
            <w:vAlign w:val="center"/>
          </w:tcPr>
          <w:p w14:paraId="457B8B3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恶意拖欠或克扣农民工工资，造成不良社会影响</w:t>
            </w:r>
          </w:p>
        </w:tc>
        <w:tc>
          <w:tcPr>
            <w:tcW w:w="804" w:type="dxa"/>
            <w:tcBorders>
              <w:top w:val="single" w:color="000000" w:sz="8" w:space="0"/>
              <w:left w:val="single" w:color="000000" w:sz="4" w:space="0"/>
              <w:bottom w:val="single" w:color="000000" w:sz="8" w:space="0"/>
              <w:right w:val="single" w:color="000000" w:sz="8" w:space="0"/>
            </w:tcBorders>
            <w:shd w:val="clear" w:color="auto" w:fill="FFFFFF"/>
            <w:vAlign w:val="center"/>
          </w:tcPr>
          <w:p w14:paraId="7DA4D4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14:paraId="779B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2027D505">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7F3D77F3">
            <w:pPr>
              <w:jc w:val="center"/>
              <w:rPr>
                <w:rFonts w:hint="eastAsia" w:ascii="宋体" w:hAnsi="宋体" w:eastAsia="宋体" w:cs="宋体"/>
                <w:b/>
                <w:bCs/>
                <w:i w:val="0"/>
                <w:iCs w:val="0"/>
                <w:color w:val="000000"/>
                <w:sz w:val="20"/>
                <w:szCs w:val="20"/>
                <w:u w:val="none"/>
              </w:rPr>
            </w:pPr>
          </w:p>
        </w:tc>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48B13A">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32</w:t>
            </w:r>
          </w:p>
        </w:tc>
        <w:tc>
          <w:tcPr>
            <w:tcW w:w="6967" w:type="dxa"/>
            <w:tcBorders>
              <w:top w:val="single" w:color="000000" w:sz="8" w:space="0"/>
              <w:left w:val="nil"/>
              <w:bottom w:val="single" w:color="000000" w:sz="8" w:space="0"/>
              <w:right w:val="nil"/>
            </w:tcBorders>
            <w:shd w:val="clear" w:color="auto" w:fill="FFFFFF"/>
            <w:vAlign w:val="center"/>
          </w:tcPr>
          <w:p w14:paraId="660C9C9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因欠薪引发涉及5人以上群体性上访事件，经核实存在欠薪行为、未及时解决</w:t>
            </w:r>
          </w:p>
        </w:tc>
        <w:tc>
          <w:tcPr>
            <w:tcW w:w="8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506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B13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5E15FD9D">
            <w:pPr>
              <w:jc w:val="center"/>
              <w:rPr>
                <w:rFonts w:hint="eastAsia" w:ascii="宋体" w:hAnsi="宋体" w:eastAsia="宋体" w:cs="宋体"/>
                <w:b/>
                <w:bCs/>
                <w:i w:val="0"/>
                <w:iCs w:val="0"/>
                <w:color w:val="000000"/>
                <w:sz w:val="20"/>
                <w:szCs w:val="20"/>
                <w:u w:val="none"/>
              </w:rPr>
            </w:pPr>
          </w:p>
        </w:tc>
        <w:tc>
          <w:tcPr>
            <w:tcW w:w="417" w:type="dxa"/>
            <w:vMerge w:val="restart"/>
            <w:tcBorders>
              <w:top w:val="single" w:color="000000" w:sz="8" w:space="0"/>
              <w:left w:val="nil"/>
              <w:bottom w:val="single" w:color="000000" w:sz="8" w:space="0"/>
              <w:right w:val="single" w:color="000000" w:sz="8" w:space="0"/>
            </w:tcBorders>
            <w:shd w:val="clear" w:color="auto" w:fill="FFFFFF"/>
            <w:vAlign w:val="center"/>
          </w:tcPr>
          <w:p w14:paraId="3D39A7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其他行为</w:t>
            </w:r>
          </w:p>
        </w:tc>
        <w:tc>
          <w:tcPr>
            <w:tcW w:w="525" w:type="dxa"/>
            <w:tcBorders>
              <w:top w:val="nil"/>
              <w:left w:val="nil"/>
              <w:bottom w:val="single" w:color="000000" w:sz="8" w:space="0"/>
              <w:right w:val="single" w:color="000000" w:sz="8" w:space="0"/>
            </w:tcBorders>
            <w:shd w:val="clear" w:color="auto" w:fill="FFFFFF"/>
            <w:vAlign w:val="center"/>
          </w:tcPr>
          <w:p w14:paraId="68628B94">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33</w:t>
            </w:r>
          </w:p>
        </w:tc>
        <w:tc>
          <w:tcPr>
            <w:tcW w:w="6967" w:type="dxa"/>
            <w:tcBorders>
              <w:top w:val="nil"/>
              <w:left w:val="nil"/>
              <w:bottom w:val="single" w:color="000000" w:sz="8" w:space="0"/>
              <w:right w:val="single" w:color="000000" w:sz="8" w:space="0"/>
            </w:tcBorders>
            <w:shd w:val="clear" w:color="auto" w:fill="FFFFFF"/>
            <w:vAlign w:val="center"/>
          </w:tcPr>
          <w:p w14:paraId="507D9A3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县级建设行政主管部门通报批评、行政处罚</w:t>
            </w:r>
          </w:p>
        </w:tc>
        <w:tc>
          <w:tcPr>
            <w:tcW w:w="804" w:type="dxa"/>
            <w:tcBorders>
              <w:top w:val="nil"/>
              <w:left w:val="nil"/>
              <w:bottom w:val="single" w:color="000000" w:sz="8" w:space="0"/>
              <w:right w:val="single" w:color="000000" w:sz="8" w:space="0"/>
            </w:tcBorders>
            <w:shd w:val="clear" w:color="auto" w:fill="FFFFFF"/>
            <w:vAlign w:val="center"/>
          </w:tcPr>
          <w:p w14:paraId="70D103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04F2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0A64517B">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4DE454D7">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7FE07305">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34</w:t>
            </w:r>
          </w:p>
        </w:tc>
        <w:tc>
          <w:tcPr>
            <w:tcW w:w="6967" w:type="dxa"/>
            <w:tcBorders>
              <w:top w:val="nil"/>
              <w:left w:val="nil"/>
              <w:bottom w:val="single" w:color="000000" w:sz="8" w:space="0"/>
              <w:right w:val="single" w:color="000000" w:sz="8" w:space="0"/>
            </w:tcBorders>
            <w:shd w:val="clear" w:color="auto" w:fill="FFFFFF"/>
            <w:vAlign w:val="center"/>
          </w:tcPr>
          <w:p w14:paraId="1A06920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市级建设行政主管部门通报批评、行政处罚</w:t>
            </w:r>
          </w:p>
        </w:tc>
        <w:tc>
          <w:tcPr>
            <w:tcW w:w="804" w:type="dxa"/>
            <w:tcBorders>
              <w:top w:val="nil"/>
              <w:left w:val="nil"/>
              <w:bottom w:val="single" w:color="000000" w:sz="8" w:space="0"/>
              <w:right w:val="single" w:color="000000" w:sz="8" w:space="0"/>
            </w:tcBorders>
            <w:shd w:val="clear" w:color="auto" w:fill="FFFFFF"/>
            <w:vAlign w:val="center"/>
          </w:tcPr>
          <w:p w14:paraId="107415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14:paraId="0180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7D9DF603">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28DAD33C">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7D79E70B">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35</w:t>
            </w:r>
          </w:p>
        </w:tc>
        <w:tc>
          <w:tcPr>
            <w:tcW w:w="6967" w:type="dxa"/>
            <w:tcBorders>
              <w:top w:val="nil"/>
              <w:left w:val="nil"/>
              <w:bottom w:val="single" w:color="000000" w:sz="8" w:space="0"/>
              <w:right w:val="single" w:color="000000" w:sz="8" w:space="0"/>
            </w:tcBorders>
            <w:shd w:val="clear" w:color="auto" w:fill="FFFFFF"/>
            <w:vAlign w:val="center"/>
          </w:tcPr>
          <w:p w14:paraId="68EDC10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省级建设行政主管部门通报批评、行政处罚</w:t>
            </w:r>
          </w:p>
        </w:tc>
        <w:tc>
          <w:tcPr>
            <w:tcW w:w="804" w:type="dxa"/>
            <w:tcBorders>
              <w:top w:val="nil"/>
              <w:left w:val="nil"/>
              <w:bottom w:val="single" w:color="000000" w:sz="8" w:space="0"/>
              <w:right w:val="single" w:color="000000" w:sz="8" w:space="0"/>
            </w:tcBorders>
            <w:shd w:val="clear" w:color="auto" w:fill="FFFFFF"/>
            <w:vAlign w:val="center"/>
          </w:tcPr>
          <w:p w14:paraId="0FBC30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7568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17" w:type="dxa"/>
            <w:vMerge w:val="continue"/>
            <w:tcBorders>
              <w:top w:val="nil"/>
              <w:left w:val="single" w:color="000000" w:sz="8" w:space="0"/>
              <w:bottom w:val="single" w:color="000000" w:sz="8" w:space="0"/>
              <w:right w:val="single" w:color="000000" w:sz="8" w:space="0"/>
            </w:tcBorders>
            <w:shd w:val="clear" w:color="auto" w:fill="FFFFFF"/>
            <w:vAlign w:val="center"/>
          </w:tcPr>
          <w:p w14:paraId="214DDFE6">
            <w:pPr>
              <w:jc w:val="center"/>
              <w:rPr>
                <w:rFonts w:hint="eastAsia" w:ascii="宋体" w:hAnsi="宋体" w:eastAsia="宋体" w:cs="宋体"/>
                <w:b/>
                <w:bCs/>
                <w:i w:val="0"/>
                <w:iCs w:val="0"/>
                <w:color w:val="000000"/>
                <w:sz w:val="20"/>
                <w:szCs w:val="20"/>
                <w:u w:val="none"/>
              </w:rPr>
            </w:pPr>
          </w:p>
        </w:tc>
        <w:tc>
          <w:tcPr>
            <w:tcW w:w="417" w:type="dxa"/>
            <w:vMerge w:val="continue"/>
            <w:tcBorders>
              <w:top w:val="single" w:color="000000" w:sz="8" w:space="0"/>
              <w:left w:val="nil"/>
              <w:bottom w:val="single" w:color="000000" w:sz="8" w:space="0"/>
              <w:right w:val="single" w:color="000000" w:sz="8" w:space="0"/>
            </w:tcBorders>
            <w:shd w:val="clear" w:color="auto" w:fill="FFFFFF"/>
            <w:vAlign w:val="center"/>
          </w:tcPr>
          <w:p w14:paraId="3DB39250">
            <w:pPr>
              <w:jc w:val="center"/>
              <w:rPr>
                <w:rFonts w:hint="eastAsia" w:ascii="宋体" w:hAnsi="宋体" w:eastAsia="宋体" w:cs="宋体"/>
                <w:b/>
                <w:bCs/>
                <w:i w:val="0"/>
                <w:iCs w:val="0"/>
                <w:color w:val="000000"/>
                <w:sz w:val="20"/>
                <w:szCs w:val="20"/>
                <w:u w:val="none"/>
              </w:rPr>
            </w:pPr>
          </w:p>
        </w:tc>
        <w:tc>
          <w:tcPr>
            <w:tcW w:w="525" w:type="dxa"/>
            <w:tcBorders>
              <w:top w:val="nil"/>
              <w:left w:val="nil"/>
              <w:bottom w:val="single" w:color="000000" w:sz="8" w:space="0"/>
              <w:right w:val="single" w:color="000000" w:sz="8" w:space="0"/>
            </w:tcBorders>
            <w:shd w:val="clear" w:color="auto" w:fill="FFFFFF"/>
            <w:vAlign w:val="center"/>
          </w:tcPr>
          <w:p w14:paraId="643EE37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36</w:t>
            </w:r>
          </w:p>
        </w:tc>
        <w:tc>
          <w:tcPr>
            <w:tcW w:w="6967" w:type="dxa"/>
            <w:tcBorders>
              <w:top w:val="nil"/>
              <w:left w:val="nil"/>
              <w:bottom w:val="single" w:color="000000" w:sz="8" w:space="0"/>
              <w:right w:val="single" w:color="000000" w:sz="8" w:space="0"/>
            </w:tcBorders>
            <w:shd w:val="clear" w:color="auto" w:fill="FFFFFF"/>
            <w:vAlign w:val="center"/>
          </w:tcPr>
          <w:p w14:paraId="7321E24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住建部通报批评、行政处罚</w:t>
            </w:r>
          </w:p>
        </w:tc>
        <w:tc>
          <w:tcPr>
            <w:tcW w:w="804" w:type="dxa"/>
            <w:tcBorders>
              <w:top w:val="nil"/>
              <w:left w:val="nil"/>
              <w:bottom w:val="single" w:color="000000" w:sz="8" w:space="0"/>
              <w:right w:val="single" w:color="000000" w:sz="8" w:space="0"/>
            </w:tcBorders>
            <w:shd w:val="clear" w:color="auto" w:fill="FFFFFF"/>
            <w:vAlign w:val="center"/>
          </w:tcPr>
          <w:p w14:paraId="5B7E76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bl>
    <w:p w14:paraId="71E6DD1E">
      <w:pPr>
        <w:rPr>
          <w:rFonts w:hint="default" w:ascii="方正小标宋_GBK" w:eastAsia="方正小标宋_GBK"/>
          <w:b/>
          <w:bCs/>
          <w:sz w:val="24"/>
          <w:szCs w:val="24"/>
          <w:lang w:val="en-US" w:eastAsia="zh-CN"/>
        </w:rPr>
      </w:pPr>
      <w:r>
        <w:rPr>
          <w:rFonts w:hint="eastAsia" w:ascii="方正小标宋_GBK" w:eastAsia="方正小标宋_GBK"/>
          <w:b/>
          <w:bCs/>
          <w:sz w:val="24"/>
          <w:szCs w:val="24"/>
          <w:lang w:val="en-US" w:eastAsia="zh-CN"/>
        </w:rPr>
        <w:t>注：以上不良行为在处罚有效期内</w:t>
      </w:r>
    </w:p>
    <w:p w14:paraId="3BCF5864">
      <w:pPr>
        <w:rPr>
          <w:rFonts w:hint="default"/>
          <w:lang w:val="en-US"/>
        </w:rPr>
      </w:pPr>
    </w:p>
    <w:sectPr>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2AF384EF-ACA7-4940-8F32-1B48A4C855C1}"/>
  </w:font>
  <w:font w:name="方正大标宋简体">
    <w:panose1 w:val="02000000000000000000"/>
    <w:charset w:val="86"/>
    <w:family w:val="auto"/>
    <w:pitch w:val="default"/>
    <w:sig w:usb0="A00002BF" w:usb1="184F6CFA" w:usb2="00000012" w:usb3="00000000" w:csb0="00040001" w:csb1="00000000"/>
    <w:embedRegular r:id="rId2" w:fontKey="{B15FB066-7408-4536-99A4-AAA183268A15}"/>
  </w:font>
  <w:font w:name="仿宋">
    <w:panose1 w:val="02010609060101010101"/>
    <w:charset w:val="86"/>
    <w:family w:val="modern"/>
    <w:pitch w:val="default"/>
    <w:sig w:usb0="800002BF" w:usb1="38CF7CFA" w:usb2="00000016" w:usb3="00000000" w:csb0="00040001" w:csb1="00000000"/>
    <w:embedRegular r:id="rId3" w:fontKey="{5A19FA56-3071-4A3F-BE48-502DF9FD3A51}"/>
  </w:font>
  <w:font w:name="方正小标宋_GBK">
    <w:panose1 w:val="03000509000000000000"/>
    <w:charset w:val="86"/>
    <w:family w:val="script"/>
    <w:pitch w:val="default"/>
    <w:sig w:usb0="00000001" w:usb1="080E0000" w:usb2="00000000" w:usb3="00000000" w:csb0="00040000" w:csb1="00000000"/>
    <w:embedRegular r:id="rId4" w:fontKey="{053340C6-41CF-455C-8477-BE7FF0C9D3B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168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B242A">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3B242A">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YjAxZDQ4MTExODgzNzhmOWQyMjRiZTk1MDQ2NjAifQ=="/>
  </w:docVars>
  <w:rsids>
    <w:rsidRoot w:val="7E206A24"/>
    <w:rsid w:val="00013D0B"/>
    <w:rsid w:val="00102A58"/>
    <w:rsid w:val="002129C3"/>
    <w:rsid w:val="003A67ED"/>
    <w:rsid w:val="006E4934"/>
    <w:rsid w:val="00753B28"/>
    <w:rsid w:val="0095303C"/>
    <w:rsid w:val="00965939"/>
    <w:rsid w:val="009E7F42"/>
    <w:rsid w:val="00BA7D54"/>
    <w:rsid w:val="00BB629E"/>
    <w:rsid w:val="00C73AE8"/>
    <w:rsid w:val="00D900EA"/>
    <w:rsid w:val="00DF7468"/>
    <w:rsid w:val="00E70384"/>
    <w:rsid w:val="06190FCF"/>
    <w:rsid w:val="09772CDB"/>
    <w:rsid w:val="0BEE55CD"/>
    <w:rsid w:val="10225FDD"/>
    <w:rsid w:val="102D3FF1"/>
    <w:rsid w:val="13675721"/>
    <w:rsid w:val="16BD76AA"/>
    <w:rsid w:val="181B71C8"/>
    <w:rsid w:val="194D0EC2"/>
    <w:rsid w:val="1A6E6175"/>
    <w:rsid w:val="1C73037A"/>
    <w:rsid w:val="1D12418B"/>
    <w:rsid w:val="1F09061A"/>
    <w:rsid w:val="211548C4"/>
    <w:rsid w:val="21226AEC"/>
    <w:rsid w:val="21997485"/>
    <w:rsid w:val="21DA1FA4"/>
    <w:rsid w:val="241E67AC"/>
    <w:rsid w:val="247017B5"/>
    <w:rsid w:val="2796389A"/>
    <w:rsid w:val="28BF5D80"/>
    <w:rsid w:val="291C1880"/>
    <w:rsid w:val="2B6D5E35"/>
    <w:rsid w:val="2C4C18AF"/>
    <w:rsid w:val="2C7A25D3"/>
    <w:rsid w:val="2E0F1EE9"/>
    <w:rsid w:val="2F482FF0"/>
    <w:rsid w:val="300A2403"/>
    <w:rsid w:val="4364579C"/>
    <w:rsid w:val="445F5100"/>
    <w:rsid w:val="44B55CCF"/>
    <w:rsid w:val="4A2E6B3E"/>
    <w:rsid w:val="4AA85275"/>
    <w:rsid w:val="4B81053C"/>
    <w:rsid w:val="4BFD2932"/>
    <w:rsid w:val="567D198A"/>
    <w:rsid w:val="59754FA0"/>
    <w:rsid w:val="5E82081A"/>
    <w:rsid w:val="61204966"/>
    <w:rsid w:val="645B1B8C"/>
    <w:rsid w:val="651D3732"/>
    <w:rsid w:val="6C1B78CE"/>
    <w:rsid w:val="6D3E5A42"/>
    <w:rsid w:val="6F5F6973"/>
    <w:rsid w:val="72C74D4B"/>
    <w:rsid w:val="7AD02B16"/>
    <w:rsid w:val="7E20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annotation text"/>
    <w:basedOn w:val="1"/>
    <w:link w:val="17"/>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3"/>
    <w:next w:val="3"/>
    <w:link w:val="18"/>
    <w:qFormat/>
    <w:uiPriority w:val="0"/>
    <w:rPr>
      <w:b/>
      <w:bCs/>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font61"/>
    <w:basedOn w:val="10"/>
    <w:qFormat/>
    <w:uiPriority w:val="0"/>
    <w:rPr>
      <w:rFonts w:hint="default" w:ascii="仿宋_GB2312" w:eastAsia="仿宋_GB2312" w:cs="仿宋_GB2312"/>
      <w:color w:val="000000"/>
      <w:sz w:val="20"/>
      <w:szCs w:val="20"/>
      <w:u w:val="none"/>
    </w:rPr>
  </w:style>
  <w:style w:type="character" w:customStyle="1" w:styleId="13">
    <w:name w:val="font71"/>
    <w:basedOn w:val="10"/>
    <w:qFormat/>
    <w:uiPriority w:val="0"/>
    <w:rPr>
      <w:rFonts w:hint="eastAsia" w:ascii="宋体" w:hAnsi="宋体" w:eastAsia="宋体" w:cs="宋体"/>
      <w:color w:val="000000"/>
      <w:sz w:val="20"/>
      <w:szCs w:val="20"/>
      <w:u w:val="none"/>
    </w:rPr>
  </w:style>
  <w:style w:type="character" w:customStyle="1" w:styleId="14">
    <w:name w:val="font101"/>
    <w:basedOn w:val="10"/>
    <w:qFormat/>
    <w:uiPriority w:val="0"/>
    <w:rPr>
      <w:rFonts w:hint="eastAsia" w:ascii="宋体" w:hAnsi="宋体" w:eastAsia="宋体" w:cs="宋体"/>
      <w:color w:val="000000"/>
      <w:sz w:val="20"/>
      <w:szCs w:val="20"/>
      <w:u w:val="none"/>
    </w:rPr>
  </w:style>
  <w:style w:type="character" w:customStyle="1" w:styleId="15">
    <w:name w:val="font81"/>
    <w:basedOn w:val="10"/>
    <w:qFormat/>
    <w:uiPriority w:val="0"/>
    <w:rPr>
      <w:rFonts w:hint="eastAsia" w:ascii="宋体" w:hAnsi="宋体" w:eastAsia="宋体" w:cs="宋体"/>
      <w:b/>
      <w:bCs/>
      <w:color w:val="FF0000"/>
      <w:sz w:val="20"/>
      <w:szCs w:val="20"/>
      <w:u w:val="none"/>
    </w:rPr>
  </w:style>
  <w:style w:type="character" w:customStyle="1" w:styleId="16">
    <w:name w:val="font112"/>
    <w:basedOn w:val="10"/>
    <w:qFormat/>
    <w:uiPriority w:val="0"/>
    <w:rPr>
      <w:rFonts w:hint="default" w:ascii="仿宋_GB2312" w:eastAsia="仿宋_GB2312" w:cs="仿宋_GB2312"/>
      <w:b/>
      <w:bCs/>
      <w:color w:val="FF0000"/>
      <w:sz w:val="20"/>
      <w:szCs w:val="20"/>
      <w:u w:val="none"/>
    </w:rPr>
  </w:style>
  <w:style w:type="character" w:customStyle="1" w:styleId="17">
    <w:name w:val="批注文字 字符"/>
    <w:basedOn w:val="10"/>
    <w:link w:val="3"/>
    <w:qFormat/>
    <w:uiPriority w:val="0"/>
    <w:rPr>
      <w:kern w:val="2"/>
      <w:sz w:val="21"/>
      <w:szCs w:val="24"/>
    </w:rPr>
  </w:style>
  <w:style w:type="character" w:customStyle="1" w:styleId="18">
    <w:name w:val="批注主题 字符"/>
    <w:basedOn w:val="17"/>
    <w:link w:val="7"/>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1759</Words>
  <Characters>1760</Characters>
  <Lines>1391</Lines>
  <Paragraphs>727</Paragraphs>
  <TotalTime>6</TotalTime>
  <ScaleCrop>false</ScaleCrop>
  <LinksUpToDate>false</LinksUpToDate>
  <CharactersWithSpaces>1772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2023-08-23T01:02:00Z</dcterms:created>
  <dc:creator>PY(^_−)−☆</dc:creator>
  <cp:lastModifiedBy>安心的妈</cp:lastModifiedBy>
  <cp:lastPrinted>2025-10-24T03:00:00Z</cp:lastPrinted>
  <dcterms:modified xsi:type="dcterms:W3CDTF">2025-11-03T01:02:58Z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EA71725F85A64E40AB80EA9FB7D1DAB5_13</vt:lpwstr>
  </property>
  <property fmtid="{D5CDD505-2E9C-101B-9397-08002B2CF9AE}" pid="4" name="KSOTemplateDocerSaveRecord">
    <vt:lpwstr>eyJoZGlkIjoiMzEzYjAxZDQ4MTExODgzNzhmOWQyMjRiZTk1MDQ2NjAiLCJ1c2VySWQiOiI0NTQ3MjIxNDQifQ==</vt:lpwstr>
  </property>
</Properties>
</file>